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3BBF" w14:textId="4942663F" w:rsidR="00EC014B" w:rsidRDefault="00EC014B" w:rsidP="00193194">
      <w:pPr>
        <w:tabs>
          <w:tab w:val="left" w:pos="3345"/>
        </w:tabs>
        <w:spacing w:after="200"/>
        <w:jc w:val="left"/>
        <w:rPr>
          <w:sz w:val="22"/>
        </w:rPr>
      </w:pPr>
      <w:bookmarkStart w:id="0" w:name="_GoBack"/>
      <w:bookmarkEnd w:id="0"/>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1"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F82DA9">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F82DA9">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F82DA9">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F82DA9">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F82DA9">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F82DA9">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F82DA9">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F82DA9">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F82DA9">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F82DA9">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F82DA9">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F82DA9">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F82DA9">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F82DA9">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F82DA9">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F82DA9">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F82DA9">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F82DA9">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F82DA9">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F82DA9">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F82DA9">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F82DA9">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F82DA9">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F82DA9">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F82DA9">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F82DA9">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F82DA9">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F82DA9">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F82DA9">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F82DA9">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F82DA9">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F82DA9">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F82DA9">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F82DA9">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F82DA9">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F82DA9">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F82DA9">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F82DA9">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F82DA9">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F82DA9">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F82DA9">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F82DA9">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F82DA9">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F82DA9">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F82DA9">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F82DA9">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F82DA9">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F82DA9">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F82DA9">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F82DA9">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F82DA9">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F82DA9">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F82DA9">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F82DA9">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F82DA9">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F82DA9">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F82DA9">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F82DA9">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F82DA9">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F82DA9">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F82DA9">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F82DA9">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F82DA9">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F82DA9">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F82DA9">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F82DA9">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F82DA9">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F82DA9">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F82DA9">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F82DA9">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F82DA9">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F82DA9">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F82DA9">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F82DA9">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F82DA9">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F82DA9">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F82DA9">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F82DA9">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F82DA9">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F82DA9">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F82DA9">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F82DA9">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F82DA9">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2" w:name="_Toc3360917"/>
      <w:bookmarkStart w:id="3" w:name="_Toc133932088"/>
      <w:r w:rsidRPr="00C249D7">
        <w:rPr>
          <w:caps/>
          <w:color w:val="0070C0"/>
        </w:rPr>
        <w:lastRenderedPageBreak/>
        <w:t>Zoznam použitých skratiek</w:t>
      </w:r>
      <w:bookmarkEnd w:id="2"/>
      <w:bookmarkEnd w:id="3"/>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4"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5" w:name="_Toc133932089"/>
      <w:r w:rsidRPr="00C249D7">
        <w:rPr>
          <w:caps/>
          <w:color w:val="0070C0"/>
        </w:rPr>
        <w:lastRenderedPageBreak/>
        <w:t>ÚVOD</w:t>
      </w:r>
      <w:bookmarkEnd w:id="4"/>
      <w:bookmarkEnd w:id="5"/>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Sil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Sil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Sil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Sil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Sil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Sil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Sil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Sil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Sil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Siln"/>
          <w:bCs w:val="0"/>
          <w:color w:val="000000" w:themeColor="text1"/>
          <w:sz w:val="22"/>
          <w:szCs w:val="22"/>
        </w:rPr>
      </w:pPr>
      <w:r w:rsidRPr="00C249D7">
        <w:rPr>
          <w:color w:val="000000" w:themeColor="text1"/>
          <w:sz w:val="22"/>
          <w:szCs w:val="22"/>
        </w:rPr>
        <w:t xml:space="preserve">MAS pre podopatrenie 19.3 </w:t>
      </w:r>
      <w:r w:rsidRPr="00C249D7">
        <w:rPr>
          <w:rStyle w:val="Siln"/>
          <w:rFonts w:cs="Arial"/>
          <w:b w:val="0"/>
          <w:color w:val="000000" w:themeColor="text1"/>
          <w:sz w:val="22"/>
          <w:szCs w:val="22"/>
        </w:rPr>
        <w:t>Príprava a vykonávanie činností spolupráce miestnych akčných skupín (ďalej len „podopatrenie 19.3“) a</w:t>
      </w:r>
      <w:r w:rsidRPr="00C249D7">
        <w:rPr>
          <w:rStyle w:val="Sil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Sil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lastRenderedPageBreak/>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6" w:name="_Toc3360919"/>
      <w:bookmarkStart w:id="7" w:name="_Toc133932090"/>
      <w:r w:rsidRPr="00C249D7">
        <w:rPr>
          <w:caps/>
          <w:color w:val="0070C0"/>
        </w:rPr>
        <w:lastRenderedPageBreak/>
        <w:t>Právny základ</w:t>
      </w:r>
      <w:bookmarkEnd w:id="6"/>
      <w:bookmarkEnd w:id="7"/>
    </w:p>
    <w:p w14:paraId="220416E0" w14:textId="6B70792C" w:rsidR="004D1BA0" w:rsidRPr="00C249D7" w:rsidRDefault="007A09F8" w:rsidP="00DE6B29">
      <w:pPr>
        <w:pStyle w:val="Nadpis2"/>
        <w:spacing w:before="0" w:after="0"/>
        <w:ind w:left="426" w:hanging="426"/>
        <w:rPr>
          <w:color w:val="0070C0"/>
          <w:sz w:val="24"/>
          <w:szCs w:val="24"/>
        </w:rPr>
      </w:pPr>
      <w:bookmarkStart w:id="8" w:name="_Toc3360920"/>
      <w:bookmarkStart w:id="9" w:name="_Toc133932091"/>
      <w:r w:rsidRPr="00C249D7">
        <w:rPr>
          <w:color w:val="0070C0"/>
          <w:sz w:val="24"/>
          <w:szCs w:val="24"/>
        </w:rPr>
        <w:t>Základné právne predpisy EÚ</w:t>
      </w:r>
      <w:bookmarkEnd w:id="8"/>
      <w:bookmarkEnd w:id="9"/>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w:t>
      </w:r>
      <w:r w:rsidRPr="00C249D7">
        <w:rPr>
          <w:rFonts w:asciiTheme="minorHAnsi" w:hAnsiTheme="minorHAnsi"/>
          <w:color w:val="000000" w:themeColor="text1"/>
          <w:sz w:val="22"/>
          <w:szCs w:val="22"/>
        </w:rPr>
        <w:lastRenderedPageBreak/>
        <w:t>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10" w:name="_Toc3360921"/>
      <w:bookmarkStart w:id="11" w:name="_Toc133932092"/>
      <w:r w:rsidRPr="00C249D7">
        <w:rPr>
          <w:color w:val="0070C0"/>
          <w:sz w:val="24"/>
          <w:szCs w:val="24"/>
        </w:rPr>
        <w:t>Základné všeobecne záväzné právne predpisy SR</w:t>
      </w:r>
      <w:bookmarkEnd w:id="10"/>
      <w:bookmarkEnd w:id="11"/>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lastRenderedPageBreak/>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2" w:name="_Toc3360922"/>
      <w:bookmarkEnd w:id="1"/>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3" w:name="_Toc133932093"/>
      <w:r w:rsidRPr="00C249D7">
        <w:rPr>
          <w:caps/>
          <w:color w:val="0070C0"/>
        </w:rPr>
        <w:t>Definície pojmov</w:t>
      </w:r>
      <w:bookmarkEnd w:id="12"/>
      <w:bookmarkEnd w:id="13"/>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lastRenderedPageBreak/>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Siln"/>
          <w:rFonts w:cstheme="minorHAnsi"/>
          <w:b w:val="0"/>
          <w:iCs/>
          <w:color w:val="000000" w:themeColor="text1"/>
          <w:sz w:val="22"/>
          <w:szCs w:val="22"/>
          <w:shd w:val="clear" w:color="auto" w:fill="FFFFFF"/>
        </w:rPr>
        <w:t>Uznesením</w:t>
      </w:r>
      <w:r w:rsidR="004604F4" w:rsidRPr="00C249D7">
        <w:rPr>
          <w:rStyle w:val="Siln"/>
          <w:rFonts w:cstheme="minorHAnsi"/>
          <w:b w:val="0"/>
          <w:iCs/>
          <w:color w:val="000000" w:themeColor="text1"/>
          <w:sz w:val="22"/>
          <w:szCs w:val="22"/>
          <w:shd w:val="clear" w:color="auto" w:fill="FFFFFF"/>
        </w:rPr>
        <w:t xml:space="preserve"> vlády Slovenskej republiky </w:t>
      </w:r>
      <w:r w:rsidR="001956CC" w:rsidRPr="00C249D7">
        <w:rPr>
          <w:rStyle w:val="Siln"/>
          <w:rFonts w:cstheme="minorHAnsi"/>
          <w:b w:val="0"/>
          <w:iCs/>
          <w:color w:val="000000" w:themeColor="text1"/>
          <w:sz w:val="22"/>
          <w:szCs w:val="22"/>
          <w:shd w:val="clear" w:color="auto" w:fill="FFFFFF"/>
        </w:rPr>
        <w:t>č. 111 z 11. marca 2020 bola vyhlásená podľa § 8 zákona Náro</w:t>
      </w:r>
      <w:r w:rsidR="004604F4" w:rsidRPr="00C249D7">
        <w:rPr>
          <w:rStyle w:val="Siln"/>
          <w:rFonts w:cstheme="minorHAnsi"/>
          <w:b w:val="0"/>
          <w:iCs/>
          <w:color w:val="000000" w:themeColor="text1"/>
          <w:sz w:val="22"/>
          <w:szCs w:val="22"/>
          <w:shd w:val="clear" w:color="auto" w:fill="FFFFFF"/>
        </w:rPr>
        <w:t xml:space="preserve">dnej rady Slovenskej republiky </w:t>
      </w:r>
      <w:r w:rsidR="001956CC" w:rsidRPr="00C249D7">
        <w:rPr>
          <w:rStyle w:val="Siln"/>
          <w:rFonts w:cstheme="minorHAnsi"/>
          <w:b w:val="0"/>
          <w:iCs/>
          <w:color w:val="000000" w:themeColor="text1"/>
          <w:sz w:val="22"/>
          <w:szCs w:val="22"/>
          <w:shd w:val="clear" w:color="auto" w:fill="FFFFFF"/>
        </w:rPr>
        <w:t>č. 42/1994 Z. z. o civilnej ochrane obyvateľstva</w:t>
      </w:r>
      <w:r w:rsidR="001956CC" w:rsidRPr="00C249D7">
        <w:rPr>
          <w:rStyle w:val="Siln"/>
          <w:rFonts w:cstheme="minorHAnsi"/>
          <w:iCs/>
          <w:color w:val="000000" w:themeColor="text1"/>
          <w:sz w:val="22"/>
          <w:szCs w:val="22"/>
          <w:shd w:val="clear" w:color="auto" w:fill="FFFFFF"/>
        </w:rPr>
        <w:t xml:space="preserve"> </w:t>
      </w:r>
      <w:r w:rsidR="001956CC" w:rsidRPr="00C249D7">
        <w:rPr>
          <w:rStyle w:val="Sil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Sil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 xml:space="preserve">skutočnosti </w:t>
      </w:r>
      <w:r w:rsidR="001956CC" w:rsidRPr="00C249D7">
        <w:rPr>
          <w:sz w:val="22"/>
          <w:szCs w:val="22"/>
        </w:rPr>
        <w:lastRenderedPageBreak/>
        <w:t>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 xml:space="preserve">akékoľvek porušenie práva EÚ alebo vnútroštátneho práva týkajúceho sa jeho uplatňovania, bez ohľadu na to, či právna povinnosť bola premietnutá do Zmluvy, pričom uvedené porušenie vyplýva z konania alebo opomenutia hospodárskeho subjektu zúčastneného </w:t>
      </w:r>
      <w:r w:rsidR="00553DE6" w:rsidRPr="00C249D7">
        <w:rPr>
          <w:sz w:val="22"/>
          <w:szCs w:val="22"/>
        </w:rPr>
        <w:lastRenderedPageBreak/>
        <w:t>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lastRenderedPageBreak/>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výdavkov zo zdroja EPFRV a spolufinancovania </w:t>
      </w:r>
      <w:r w:rsidRPr="00C249D7">
        <w:rPr>
          <w:rFonts w:asciiTheme="minorHAnsi" w:hAnsiTheme="minorHAnsi" w:cstheme="minorHAnsi"/>
          <w:color w:val="000000" w:themeColor="text1"/>
          <w:sz w:val="22"/>
          <w:szCs w:val="22"/>
        </w:rPr>
        <w:lastRenderedPageBreak/>
        <w:t>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lastRenderedPageBreak/>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4"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5" w:name="_Toc3360923"/>
      <w:bookmarkStart w:id="16" w:name="_Toc133932094"/>
      <w:r w:rsidRPr="00C249D7">
        <w:rPr>
          <w:caps/>
          <w:color w:val="0070C0"/>
        </w:rPr>
        <w:lastRenderedPageBreak/>
        <w:t xml:space="preserve">Spôsob komunikácie </w:t>
      </w:r>
      <w:r w:rsidR="008D6584" w:rsidRPr="00C249D7">
        <w:rPr>
          <w:caps/>
          <w:color w:val="0070C0"/>
        </w:rPr>
        <w:t>v rámci implementácie stratégie CLLD</w:t>
      </w:r>
      <w:bookmarkEnd w:id="14"/>
      <w:bookmarkEnd w:id="15"/>
      <w:bookmarkEnd w:id="16"/>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 xml:space="preserve">rozsiahle prílohy k ŽoNFP najmä technického charakteru (t. j. výkresy, </w:t>
      </w:r>
      <w:r w:rsidRPr="00C249D7">
        <w:rPr>
          <w:bCs/>
          <w:iCs/>
          <w:color w:val="000000" w:themeColor="text1"/>
          <w:sz w:val="22"/>
          <w:szCs w:val="22"/>
        </w:rPr>
        <w:lastRenderedPageBreak/>
        <w:t>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7" w:name="_Toc133931652"/>
      <w:bookmarkStart w:id="18" w:name="_Toc133931741"/>
      <w:bookmarkStart w:id="19" w:name="_Toc133931832"/>
      <w:bookmarkStart w:id="20" w:name="_Toc133931921"/>
      <w:bookmarkStart w:id="21" w:name="_Toc133932009"/>
      <w:bookmarkStart w:id="22" w:name="_Toc133932095"/>
      <w:bookmarkStart w:id="23" w:name="_Toc3360924"/>
      <w:bookmarkStart w:id="24" w:name="move463935252_51"/>
      <w:bookmarkEnd w:id="17"/>
      <w:bookmarkEnd w:id="18"/>
      <w:bookmarkEnd w:id="19"/>
      <w:bookmarkEnd w:id="20"/>
      <w:bookmarkEnd w:id="21"/>
      <w:bookmarkEnd w:id="22"/>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5"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3"/>
      <w:bookmarkEnd w:id="24"/>
      <w:bookmarkEnd w:id="25"/>
    </w:p>
    <w:p w14:paraId="4B687AB0" w14:textId="77777777" w:rsidR="00F8639F" w:rsidRPr="00C249D7" w:rsidRDefault="00F8639F" w:rsidP="0042752C">
      <w:pPr>
        <w:pStyle w:val="Textkomentra"/>
        <w:rPr>
          <w:color w:val="000000" w:themeColor="text1"/>
          <w:sz w:val="22"/>
          <w:szCs w:val="22"/>
        </w:rPr>
      </w:pPr>
      <w:bookmarkStart w:id="26" w:name="_Toc113541220"/>
      <w:bookmarkStart w:id="27"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6"/>
      <w:bookmarkEnd w:id="27"/>
      <w:r w:rsidRPr="00C249D7">
        <w:rPr>
          <w:color w:val="000000" w:themeColor="text1"/>
          <w:sz w:val="22"/>
          <w:szCs w:val="22"/>
        </w:rPr>
        <w:t xml:space="preserve"> </w:t>
      </w:r>
    </w:p>
    <w:p w14:paraId="3533BFBA" w14:textId="5493F69B" w:rsidR="00F8639F" w:rsidRPr="00C249D7" w:rsidRDefault="00F8639F" w:rsidP="004C13BA">
      <w:pPr>
        <w:spacing w:after="0"/>
      </w:pPr>
      <w:bookmarkStart w:id="28" w:name="_Toc113541221"/>
      <w:bookmarkStart w:id="29" w:name="_Toc116544403"/>
      <w:r w:rsidRPr="004C13BA">
        <w:rPr>
          <w:b/>
          <w:bCs/>
        </w:rPr>
        <w:t>Spôsoby doručovania</w:t>
      </w:r>
      <w:r w:rsidRPr="00C249D7">
        <w:t xml:space="preserve"> písomností sú nasledovné:</w:t>
      </w:r>
      <w:bookmarkEnd w:id="28"/>
      <w:bookmarkEnd w:id="29"/>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30" w:name="_Toc442124728"/>
    </w:p>
    <w:p w14:paraId="4772BCC6" w14:textId="77777777" w:rsidR="00983122" w:rsidRDefault="00983122">
      <w:pPr>
        <w:rPr>
          <w:rFonts w:eastAsiaTheme="majorEastAsia" w:cstheme="majorBidi"/>
          <w:b/>
          <w:bCs/>
          <w:caps/>
          <w:color w:val="0070C0"/>
          <w:sz w:val="36"/>
          <w:szCs w:val="36"/>
        </w:rPr>
      </w:pPr>
      <w:bookmarkStart w:id="31"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2" w:name="_Toc133932097"/>
      <w:r w:rsidRPr="00C249D7">
        <w:rPr>
          <w:caps/>
          <w:color w:val="0070C0"/>
          <w:sz w:val="36"/>
          <w:szCs w:val="36"/>
        </w:rPr>
        <w:lastRenderedPageBreak/>
        <w:t xml:space="preserve">ČASŤ </w:t>
      </w:r>
      <w:r w:rsidR="00DF402D" w:rsidRPr="00C249D7">
        <w:rPr>
          <w:caps/>
          <w:color w:val="0070C0"/>
          <w:sz w:val="36"/>
          <w:szCs w:val="36"/>
        </w:rPr>
        <w:t>A</w:t>
      </w:r>
      <w:bookmarkEnd w:id="31"/>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2"/>
    </w:p>
    <w:p w14:paraId="39F5F560" w14:textId="5D574BA6" w:rsidR="00960B6E" w:rsidRPr="00C249D7" w:rsidRDefault="00CC1484" w:rsidP="002739A9">
      <w:pPr>
        <w:pStyle w:val="Nadpis1"/>
        <w:numPr>
          <w:ilvl w:val="0"/>
          <w:numId w:val="365"/>
        </w:numPr>
        <w:ind w:left="567" w:hanging="567"/>
        <w:rPr>
          <w:caps/>
          <w:color w:val="0070C0"/>
        </w:rPr>
      </w:pPr>
      <w:bookmarkStart w:id="33" w:name="_Toc3360927"/>
      <w:bookmarkStart w:id="34" w:name="_Toc133932098"/>
      <w:r w:rsidRPr="00C249D7">
        <w:rPr>
          <w:caps/>
          <w:color w:val="0070C0"/>
        </w:rPr>
        <w:t>Všeobecné informácie k realizácii projektov</w:t>
      </w:r>
      <w:bookmarkEnd w:id="33"/>
      <w:bookmarkEnd w:id="34"/>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lastRenderedPageBreak/>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lastRenderedPageBreak/>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5" w:name="_Toc133931658"/>
      <w:bookmarkStart w:id="36" w:name="_Toc133931747"/>
      <w:bookmarkStart w:id="37" w:name="_Toc133931838"/>
      <w:bookmarkStart w:id="38" w:name="_Toc133931926"/>
      <w:bookmarkStart w:id="39" w:name="_Toc133932013"/>
      <w:bookmarkStart w:id="40" w:name="_Toc133932099"/>
      <w:bookmarkStart w:id="41" w:name="_Toc3360928"/>
      <w:bookmarkEnd w:id="35"/>
      <w:bookmarkEnd w:id="36"/>
      <w:bookmarkEnd w:id="37"/>
      <w:bookmarkEnd w:id="38"/>
      <w:bookmarkEnd w:id="39"/>
      <w:bookmarkEnd w:id="40"/>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2" w:name="_Toc133932100"/>
      <w:r w:rsidRPr="00DC1B53">
        <w:rPr>
          <w:rFonts w:asciiTheme="minorHAnsi" w:hAnsiTheme="minorHAnsi" w:cs="Times New Roman"/>
          <w:color w:val="0070C0"/>
          <w:sz w:val="24"/>
          <w:szCs w:val="24"/>
        </w:rPr>
        <w:t>Všeobecné zásady ochrany finančných záujmov EÚ a štátneho rozpočtu SR</w:t>
      </w:r>
      <w:bookmarkEnd w:id="41"/>
      <w:bookmarkEnd w:id="42"/>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3"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4" w:name="_Toc133932101"/>
      <w:r w:rsidRPr="00DC1B53">
        <w:rPr>
          <w:color w:val="0070C0"/>
          <w:sz w:val="24"/>
          <w:szCs w:val="24"/>
        </w:rPr>
        <w:t>Záložné právo</w:t>
      </w:r>
      <w:bookmarkEnd w:id="43"/>
      <w:bookmarkEnd w:id="44"/>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5"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
      <w:bookmarkEnd w:id="45"/>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xml:space="preserve">, na ktorom </w:t>
            </w:r>
            <w:r w:rsidRPr="00C249D7">
              <w:rPr>
                <w:rFonts w:asciiTheme="minorHAnsi" w:hAnsiTheme="minorHAnsi" w:cstheme="minorHAnsi"/>
                <w:sz w:val="18"/>
                <w:szCs w:val="18"/>
              </w:rPr>
              <w:lastRenderedPageBreak/>
              <w:t>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lastRenderedPageBreak/>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6"/>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Doba platnosti zmluvy o zriadení záložného práva k hnuteľným veciam a k nehnuteľným veciam je totožná s dobou udržateľnosti projektu /dobou platnosti zmluvy o poskytnutí NFP. Pre dobu </w:t>
      </w:r>
      <w:r w:rsidRPr="00C249D7">
        <w:rPr>
          <w:rFonts w:asciiTheme="minorHAnsi" w:hAnsiTheme="minorHAnsi" w:cstheme="minorHAnsi"/>
          <w:sz w:val="22"/>
          <w:szCs w:val="22"/>
        </w:rPr>
        <w:lastRenderedPageBreak/>
        <w:t>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7"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7"/>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8"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8"/>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lastRenderedPageBreak/>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w:t>
      </w:r>
      <w:r w:rsidRPr="00C249D7">
        <w:rPr>
          <w:color w:val="000000" w:themeColor="text1"/>
          <w:sz w:val="22"/>
          <w:szCs w:val="22"/>
        </w:rPr>
        <w:lastRenderedPageBreak/>
        <w:t xml:space="preserve">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9"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9"/>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50"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1" w:name="_Toc133932102"/>
      <w:bookmarkEnd w:id="50"/>
      <w:r w:rsidRPr="00C249D7">
        <w:rPr>
          <w:rFonts w:asciiTheme="minorHAnsi" w:hAnsiTheme="minorHAnsi" w:cs="Times New Roman"/>
          <w:color w:val="0070C0"/>
          <w:sz w:val="24"/>
          <w:szCs w:val="24"/>
        </w:rPr>
        <w:lastRenderedPageBreak/>
        <w:t>Poistenie majetku</w:t>
      </w:r>
      <w:bookmarkEnd w:id="51"/>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2"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2"/>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lastRenderedPageBreak/>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3" w:name="_Toc3360931"/>
      <w:bookmarkStart w:id="54" w:name="move463935252_64"/>
      <w:r w:rsidRPr="00C249D7">
        <w:rPr>
          <w:rFonts w:asciiTheme="minorHAnsi" w:hAnsiTheme="minorHAnsi" w:cs="Times New Roman"/>
          <w:color w:val="0070C0"/>
          <w:sz w:val="24"/>
          <w:szCs w:val="24"/>
        </w:rPr>
        <w:t xml:space="preserve"> </w:t>
      </w:r>
      <w:bookmarkStart w:id="55"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3"/>
      <w:bookmarkEnd w:id="55"/>
    </w:p>
    <w:bookmarkEnd w:id="54"/>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6"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6"/>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lastRenderedPageBreak/>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7"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8"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7"/>
      <w:bookmarkEnd w:id="58"/>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9"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9"/>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lastRenderedPageBreak/>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60"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1" w:name="_Toc133932105"/>
      <w:bookmarkStart w:id="62" w:name="move463935252_66"/>
      <w:r w:rsidRPr="00C249D7">
        <w:rPr>
          <w:rFonts w:asciiTheme="minorHAnsi" w:hAnsiTheme="minorHAnsi" w:cs="Times New Roman"/>
          <w:color w:val="0070C0"/>
          <w:sz w:val="24"/>
          <w:szCs w:val="24"/>
        </w:rPr>
        <w:t>Systémy financovania</w:t>
      </w:r>
      <w:bookmarkEnd w:id="60"/>
      <w:bookmarkEnd w:id="61"/>
    </w:p>
    <w:bookmarkEnd w:id="62"/>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3" w:name="_Toc3360934"/>
      <w:bookmarkStart w:id="64" w:name="_Toc133932106"/>
      <w:r w:rsidRPr="00C249D7">
        <w:rPr>
          <w:rFonts w:asciiTheme="minorHAnsi" w:hAnsiTheme="minorHAnsi"/>
          <w:i/>
          <w:color w:val="0070C0"/>
          <w:sz w:val="22"/>
          <w:szCs w:val="22"/>
        </w:rPr>
        <w:t>Systém refundácie</w:t>
      </w:r>
      <w:bookmarkEnd w:id="63"/>
      <w:bookmarkEnd w:id="64"/>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w:t>
      </w:r>
      <w:r w:rsidRPr="00C249D7">
        <w:rPr>
          <w:color w:val="000000" w:themeColor="text1"/>
          <w:sz w:val="22"/>
          <w:szCs w:val="22"/>
        </w:rPr>
        <w:lastRenderedPageBreak/>
        <w:t xml:space="preserve">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5" w:name="_Toc3360935"/>
      <w:bookmarkStart w:id="66" w:name="_Toc133932107"/>
      <w:r w:rsidRPr="00C249D7">
        <w:rPr>
          <w:rFonts w:asciiTheme="minorHAnsi" w:hAnsiTheme="minorHAnsi"/>
          <w:i/>
          <w:color w:val="0070C0"/>
          <w:sz w:val="22"/>
          <w:szCs w:val="22"/>
        </w:rPr>
        <w:t>Systém zálohovej platby</w:t>
      </w:r>
      <w:bookmarkEnd w:id="65"/>
      <w:bookmarkEnd w:id="66"/>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7" w:name="_Toc3360936"/>
      <w:bookmarkStart w:id="68" w:name="_Toc133932108"/>
      <w:r w:rsidRPr="00C249D7">
        <w:rPr>
          <w:rFonts w:asciiTheme="minorHAnsi" w:hAnsiTheme="minorHAnsi"/>
          <w:i/>
          <w:color w:val="0070C0"/>
          <w:sz w:val="22"/>
          <w:szCs w:val="22"/>
        </w:rPr>
        <w:t>Paušálne platby</w:t>
      </w:r>
      <w:bookmarkEnd w:id="67"/>
      <w:bookmarkEnd w:id="68"/>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lastRenderedPageBreak/>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9" w:name="_Toc3360937"/>
      <w:bookmarkStart w:id="70" w:name="_Toc133932109"/>
      <w:bookmarkStart w:id="71" w:name="move463935252_67"/>
      <w:r w:rsidRPr="00C249D7">
        <w:rPr>
          <w:rFonts w:asciiTheme="minorHAnsi" w:hAnsiTheme="minorHAnsi" w:cs="Times New Roman"/>
          <w:color w:val="0070C0"/>
          <w:sz w:val="24"/>
          <w:szCs w:val="24"/>
        </w:rPr>
        <w:t>Podmienky na úhradu finančných prostriedkov</w:t>
      </w:r>
      <w:bookmarkEnd w:id="30"/>
      <w:bookmarkEnd w:id="69"/>
      <w:bookmarkEnd w:id="70"/>
    </w:p>
    <w:bookmarkEnd w:id="71"/>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2" w:name="_2.3.3_Žiadosť_o"/>
      <w:bookmarkStart w:id="73" w:name="_Toc442124734"/>
      <w:bookmarkStart w:id="74" w:name="_Toc3360938"/>
      <w:bookmarkStart w:id="75" w:name="_Toc133932110"/>
      <w:bookmarkEnd w:id="72"/>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3"/>
      <w:bookmarkEnd w:id="74"/>
      <w:bookmarkEnd w:id="75"/>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lastRenderedPageBreak/>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w:t>
      </w:r>
      <w:r w:rsidRPr="00C249D7">
        <w:rPr>
          <w:color w:val="000000" w:themeColor="text1"/>
          <w:sz w:val="22"/>
          <w:szCs w:val="22"/>
        </w:rPr>
        <w:lastRenderedPageBreak/>
        <w:t xml:space="preserve">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6"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6"/>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7" w:name="_Toc133932111"/>
      <w:r w:rsidRPr="00C249D7">
        <w:rPr>
          <w:i/>
          <w:color w:val="0070C0"/>
          <w:sz w:val="22"/>
          <w:szCs w:val="22"/>
        </w:rPr>
        <w:t>Náležitosti účtovných a daňových dokladov</w:t>
      </w:r>
      <w:bookmarkEnd w:id="77"/>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lastRenderedPageBreak/>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8" w:name="_Toc3360939"/>
      <w:bookmarkStart w:id="79"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8"/>
      <w:r w:rsidR="00C27513" w:rsidRPr="00C249D7">
        <w:rPr>
          <w:rFonts w:asciiTheme="minorHAnsi" w:hAnsiTheme="minorHAnsi"/>
          <w:i/>
          <w:color w:val="0070C0"/>
          <w:sz w:val="22"/>
          <w:szCs w:val="22"/>
        </w:rPr>
        <w:t xml:space="preserve"> a finančná kontrola na mieste</w:t>
      </w:r>
      <w:bookmarkEnd w:id="79"/>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 xml:space="preserve">správy, ktorú predkladá spolu so ŽoP. Zmeny je však potrebné riadne odôvodniť a plánované </w:t>
      </w:r>
      <w:r w:rsidRPr="00F44657">
        <w:rPr>
          <w:rFonts w:asciiTheme="minorHAnsi" w:hAnsiTheme="minorHAnsi"/>
          <w:color w:val="auto"/>
          <w:sz w:val="22"/>
          <w:szCs w:val="22"/>
        </w:rPr>
        <w:lastRenderedPageBreak/>
        <w:t>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lastRenderedPageBreak/>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lastRenderedPageBreak/>
        <w:t xml:space="preserve"> </w:t>
      </w:r>
      <w:bookmarkStart w:id="80"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80"/>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1" w:name="_Toc133932114"/>
      <w:r w:rsidRPr="00C249D7">
        <w:rPr>
          <w:i/>
          <w:color w:val="0070C0"/>
          <w:sz w:val="22"/>
          <w:szCs w:val="22"/>
        </w:rPr>
        <w:t>Prílohy pri zúčtovaní zálohovej platby a refundácie</w:t>
      </w:r>
      <w:bookmarkEnd w:id="81"/>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lastRenderedPageBreak/>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lastRenderedPageBreak/>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2" w:name="_Toc133932115"/>
      <w:r w:rsidRPr="008C0227">
        <w:rPr>
          <w:rFonts w:asciiTheme="minorHAnsi" w:hAnsiTheme="minorHAnsi" w:cstheme="minorHAnsi"/>
          <w:color w:val="0070C0"/>
          <w:sz w:val="22"/>
          <w:szCs w:val="22"/>
        </w:rPr>
        <w:t>Výdavky MAS spojené s riadením uskutočňovania stratégie CLLD</w:t>
      </w:r>
      <w:bookmarkEnd w:id="82"/>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3" w:name="_Toc3360942"/>
      <w:bookmarkStart w:id="84" w:name="_Toc133932116"/>
      <w:r w:rsidRPr="00C249D7">
        <w:rPr>
          <w:rFonts w:asciiTheme="minorHAnsi" w:hAnsiTheme="minorHAnsi" w:cs="Times New Roman"/>
          <w:color w:val="0070C0"/>
          <w:sz w:val="24"/>
          <w:szCs w:val="24"/>
        </w:rPr>
        <w:t>Účty prijímateľa</w:t>
      </w:r>
      <w:bookmarkEnd w:id="83"/>
      <w:bookmarkEnd w:id="84"/>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5" w:name="_Toc3360943"/>
      <w:bookmarkStart w:id="86" w:name="_Toc133932117"/>
      <w:r w:rsidRPr="00C249D7">
        <w:rPr>
          <w:i/>
          <w:color w:val="0070C0"/>
          <w:sz w:val="22"/>
          <w:szCs w:val="22"/>
        </w:rPr>
        <w:t>Účtovníctvo prijímateľa</w:t>
      </w:r>
      <w:bookmarkEnd w:id="85"/>
      <w:bookmarkEnd w:id="86"/>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7"/>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8"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w:t>
      </w:r>
      <w:r w:rsidRPr="00C249D7">
        <w:rPr>
          <w:color w:val="000000" w:themeColor="text1"/>
          <w:sz w:val="22"/>
          <w:szCs w:val="22"/>
        </w:rPr>
        <w:lastRenderedPageBreak/>
        <w:t xml:space="preserve">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8"/>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9" w:name="_2.3.6_Nezrovnalosti_a"/>
      <w:bookmarkStart w:id="90" w:name="_Toc442124740"/>
      <w:bookmarkEnd w:id="89"/>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1" w:name="_Toc133932118"/>
      <w:bookmarkEnd w:id="90"/>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1"/>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w:t>
      </w:r>
      <w:r w:rsidRPr="00C249D7">
        <w:rPr>
          <w:sz w:val="22"/>
        </w:rPr>
        <w:lastRenderedPageBreak/>
        <w:t xml:space="preserve">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lastRenderedPageBreak/>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lastRenderedPageBreak/>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2" w:name="_Toc3360947"/>
      <w:bookmarkStart w:id="93" w:name="_Toc133932119"/>
      <w:bookmarkStart w:id="94" w:name="move463935252_6851"/>
      <w:r w:rsidRPr="00C249D7">
        <w:rPr>
          <w:i/>
          <w:color w:val="0070C0"/>
          <w:sz w:val="22"/>
          <w:szCs w:val="22"/>
        </w:rPr>
        <w:t>Finančná kontrola a audit projektov</w:t>
      </w:r>
      <w:bookmarkEnd w:id="92"/>
      <w:bookmarkEnd w:id="93"/>
      <w:r w:rsidRPr="00C249D7">
        <w:rPr>
          <w:i/>
          <w:color w:val="0070C0"/>
          <w:sz w:val="22"/>
          <w:szCs w:val="22"/>
        </w:rPr>
        <w:t xml:space="preserve"> </w:t>
      </w:r>
    </w:p>
    <w:bookmarkEnd w:id="94"/>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w:t>
      </w:r>
      <w:r w:rsidRPr="00C249D7">
        <w:rPr>
          <w:rFonts w:asciiTheme="minorHAnsi" w:hAnsiTheme="minorHAnsi" w:cstheme="minorHAnsi"/>
          <w:sz w:val="22"/>
          <w:szCs w:val="22"/>
        </w:rPr>
        <w:lastRenderedPageBreak/>
        <w:t>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5"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6"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5"/>
      <w:bookmarkEnd w:id="96"/>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w:t>
      </w:r>
      <w:r w:rsidRPr="008C0227">
        <w:rPr>
          <w:rFonts w:eastAsia="Calibri" w:cs="Calibri"/>
          <w:b/>
          <w:color w:val="auto"/>
          <w:sz w:val="22"/>
          <w:szCs w:val="22"/>
        </w:rPr>
        <w:lastRenderedPageBreak/>
        <w:t xml:space="preserve">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 xml:space="preserve">na strane prijímateľa, za ktoré je možné určiť finančnú opravu NFP (resp. korekciu), je oprávnená pri určení výšky finančnej opravy NFP (korekcie) za predmetné </w:t>
      </w:r>
      <w:r w:rsidRPr="008C0227">
        <w:rPr>
          <w:rFonts w:asciiTheme="minorHAnsi" w:hAnsiTheme="minorHAnsi"/>
          <w:color w:val="auto"/>
          <w:sz w:val="22"/>
          <w:szCs w:val="22"/>
        </w:rPr>
        <w:lastRenderedPageBreak/>
        <w:t>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7" w:name="_Toc3360949"/>
      <w:bookmarkStart w:id="98"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7"/>
      <w:bookmarkEnd w:id="98"/>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lastRenderedPageBreak/>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9"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9"/>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100"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100"/>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w:t>
      </w:r>
      <w:r w:rsidRPr="008C0227">
        <w:rPr>
          <w:color w:val="auto"/>
          <w:sz w:val="22"/>
          <w:szCs w:val="22"/>
        </w:rPr>
        <w:lastRenderedPageBreak/>
        <w:t xml:space="preserve">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w:t>
      </w:r>
      <w:r w:rsidRPr="008C0227">
        <w:rPr>
          <w:rFonts w:asciiTheme="minorHAnsi" w:hAnsiTheme="minorHAnsi" w:cstheme="minorHAnsi"/>
          <w:szCs w:val="22"/>
        </w:rPr>
        <w:lastRenderedPageBreak/>
        <w:t xml:space="preserve">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1" w:name="_Toc3360956"/>
      <w:bookmarkStart w:id="102" w:name="_Toc133932121"/>
      <w:r w:rsidRPr="00C249D7">
        <w:rPr>
          <w:i/>
          <w:color w:val="0070C0"/>
          <w:sz w:val="22"/>
          <w:szCs w:val="22"/>
        </w:rPr>
        <w:t>Uplatňovanie sociálneho aspektu pri verejnom obstarávaní</w:t>
      </w:r>
      <w:bookmarkEnd w:id="101"/>
      <w:bookmarkEnd w:id="102"/>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3"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4"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4"/>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lastRenderedPageBreak/>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5" w:name="_Toc133932123"/>
      <w:r w:rsidRPr="00C249D7">
        <w:rPr>
          <w:rFonts w:asciiTheme="minorHAnsi" w:hAnsiTheme="minorHAnsi" w:cs="Times New Roman"/>
          <w:color w:val="0070C0"/>
          <w:sz w:val="24"/>
          <w:szCs w:val="24"/>
        </w:rPr>
        <w:lastRenderedPageBreak/>
        <w:t>Konflikt záujmov</w:t>
      </w:r>
      <w:bookmarkEnd w:id="103"/>
      <w:bookmarkEnd w:id="105"/>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6" w:name="_Toc3360958"/>
      <w:bookmarkStart w:id="107"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6"/>
      <w:bookmarkEnd w:id="107"/>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8"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8"/>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9"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9"/>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lastRenderedPageBreak/>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10"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10"/>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1"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2" w:name="_Toc133932125"/>
      <w:r w:rsidRPr="007829C3">
        <w:rPr>
          <w:i/>
          <w:color w:val="0070C0"/>
          <w:sz w:val="22"/>
          <w:szCs w:val="22"/>
        </w:rPr>
        <w:t>Konflikt záujmov pri obstarávaní na úrovni prijímateľa</w:t>
      </w:r>
      <w:bookmarkEnd w:id="112"/>
      <w:r w:rsidRPr="007829C3">
        <w:rPr>
          <w:i/>
          <w:color w:val="0070C0"/>
          <w:sz w:val="22"/>
          <w:szCs w:val="22"/>
        </w:rPr>
        <w:t xml:space="preserve"> </w:t>
      </w:r>
      <w:bookmarkEnd w:id="111"/>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3"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3"/>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lastRenderedPageBreak/>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4" w:name="_Toc3360960"/>
      <w:bookmarkStart w:id="115" w:name="_Toc133932126"/>
      <w:r w:rsidRPr="00C249D7">
        <w:rPr>
          <w:rFonts w:asciiTheme="minorHAnsi" w:hAnsiTheme="minorHAnsi" w:cs="Times New Roman"/>
          <w:color w:val="0070C0"/>
          <w:sz w:val="24"/>
          <w:szCs w:val="24"/>
        </w:rPr>
        <w:t>Zmenové konanie</w:t>
      </w:r>
      <w:bookmarkEnd w:id="114"/>
      <w:bookmarkEnd w:id="115"/>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6" w:name="_Toc3360961"/>
      <w:bookmarkStart w:id="117" w:name="_Toc133932127"/>
      <w:r w:rsidRPr="00C249D7">
        <w:rPr>
          <w:i/>
          <w:color w:val="0070C0"/>
          <w:sz w:val="22"/>
          <w:szCs w:val="22"/>
        </w:rPr>
        <w:t>Zmenové konanie na podnet prijímateľa</w:t>
      </w:r>
      <w:bookmarkEnd w:id="116"/>
      <w:bookmarkEnd w:id="117"/>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w:t>
            </w:r>
            <w:r w:rsidRPr="00C249D7">
              <w:rPr>
                <w:rFonts w:asciiTheme="minorHAnsi" w:eastAsia="Times New Roman" w:hAnsiTheme="minorHAnsi"/>
                <w:sz w:val="18"/>
                <w:szCs w:val="18"/>
              </w:rPr>
              <w:lastRenderedPageBreak/>
              <w:t>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8"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8"/>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9"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9"/>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lastRenderedPageBreak/>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w:t>
      </w:r>
      <w:r w:rsidRPr="00C249D7">
        <w:rPr>
          <w:sz w:val="22"/>
          <w:szCs w:val="22"/>
        </w:rPr>
        <w:lastRenderedPageBreak/>
        <w:t>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20" w:name="move463935252_6111113"/>
      <w:bookmarkStart w:id="121"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20"/>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lastRenderedPageBreak/>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1"/>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2"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2"/>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lastRenderedPageBreak/>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3"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3"/>
    </w:p>
    <w:p w14:paraId="5B7E7A15" w14:textId="53EAB4AF" w:rsidR="001C28CF" w:rsidRPr="00C249D7" w:rsidRDefault="00411CB0" w:rsidP="002739A9">
      <w:pPr>
        <w:pStyle w:val="Nadpis3"/>
        <w:numPr>
          <w:ilvl w:val="2"/>
          <w:numId w:val="367"/>
        </w:numPr>
        <w:ind w:left="720"/>
        <w:rPr>
          <w:i/>
          <w:color w:val="0070C0"/>
          <w:sz w:val="22"/>
          <w:szCs w:val="22"/>
        </w:rPr>
      </w:pPr>
      <w:bookmarkStart w:id="124" w:name="_Toc3360962"/>
      <w:bookmarkStart w:id="125" w:name="_Toc133932128"/>
      <w:r w:rsidRPr="00C249D7">
        <w:rPr>
          <w:i/>
          <w:color w:val="0070C0"/>
          <w:sz w:val="22"/>
          <w:szCs w:val="22"/>
        </w:rPr>
        <w:lastRenderedPageBreak/>
        <w:t>Zmenové konanie na podnet PPA</w:t>
      </w:r>
      <w:bookmarkEnd w:id="124"/>
      <w:bookmarkEnd w:id="125"/>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6" w:name="_Toc3360963"/>
      <w:bookmarkStart w:id="127"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6"/>
      <w:bookmarkEnd w:id="127"/>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nadobudne od tretích osôb na základe využitia postupov a podmienok obstarávania. Majetok nadobudnutý z NFP, ktorý bol nadobudnutý od tretích osôb, </w:t>
      </w:r>
      <w:r w:rsidRPr="00C249D7">
        <w:rPr>
          <w:bCs/>
          <w:sz w:val="22"/>
          <w:szCs w:val="22"/>
        </w:rPr>
        <w:lastRenderedPageBreak/>
        <w:t>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lastRenderedPageBreak/>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lastRenderedPageBreak/>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8" w:name="_Toc3360964"/>
      <w:bookmarkStart w:id="129" w:name="_Toc133932130"/>
      <w:r w:rsidRPr="00C249D7">
        <w:rPr>
          <w:i/>
          <w:color w:val="0070C0"/>
          <w:sz w:val="22"/>
          <w:szCs w:val="22"/>
        </w:rPr>
        <w:t>Zmenové konanie stratégie CLLD</w:t>
      </w:r>
      <w:bookmarkEnd w:id="128"/>
      <w:bookmarkEnd w:id="129"/>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xml:space="preserve">. Presun finančných prostriedkov v tomto prípade môže MAS vykonať len v rámci príslušného opatrenia PRV, napr.: presun finančných prostriedkov z podopatrenia 7.2 do podopatrenia 7.5, </w:t>
            </w:r>
            <w:r w:rsidRPr="00C249D7">
              <w:rPr>
                <w:rFonts w:asciiTheme="minorHAnsi" w:eastAsia="Times New Roman" w:hAnsiTheme="minorHAnsi" w:cstheme="minorHAnsi"/>
                <w:color w:val="000000" w:themeColor="text1"/>
                <w:sz w:val="18"/>
                <w:szCs w:val="18"/>
              </w:rPr>
              <w:lastRenderedPageBreak/>
              <w:t>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lastRenderedPageBreak/>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30"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30"/>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lastRenderedPageBreak/>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w:t>
      </w:r>
      <w:r w:rsidRPr="00C249D7">
        <w:rPr>
          <w:sz w:val="22"/>
          <w:szCs w:val="22"/>
        </w:rPr>
        <w:lastRenderedPageBreak/>
        <w:t xml:space="preserve">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 xml:space="preserve">o menej významnej zmene </w:t>
      </w:r>
      <w:r w:rsidRPr="00C249D7">
        <w:rPr>
          <w:color w:val="000000" w:themeColor="text1"/>
          <w:sz w:val="22"/>
          <w:szCs w:val="22"/>
        </w:rPr>
        <w:lastRenderedPageBreak/>
        <w:t>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1"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2" w:name="_Toc133932131"/>
      <w:r w:rsidRPr="00C249D7">
        <w:rPr>
          <w:rFonts w:asciiTheme="minorHAnsi" w:hAnsiTheme="minorHAnsi" w:cs="Times New Roman"/>
          <w:color w:val="0070C0"/>
          <w:sz w:val="24"/>
          <w:szCs w:val="24"/>
        </w:rPr>
        <w:t>Monitorovanie projektov</w:t>
      </w:r>
      <w:bookmarkEnd w:id="131"/>
      <w:bookmarkEnd w:id="132"/>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3" w:name="_2.5_Zmeny_projektu"/>
      <w:bookmarkStart w:id="134" w:name="_Toc442124750"/>
      <w:bookmarkEnd w:id="133"/>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lastRenderedPageBreak/>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lastRenderedPageBreak/>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5" w:name="_Toc3360966"/>
      <w:bookmarkStart w:id="136" w:name="_Toc133932132"/>
      <w:r w:rsidRPr="00C249D7">
        <w:rPr>
          <w:i/>
          <w:color w:val="0070C0"/>
          <w:sz w:val="22"/>
          <w:szCs w:val="22"/>
        </w:rPr>
        <w:t xml:space="preserve">Monitorovanie </w:t>
      </w:r>
      <w:r w:rsidR="00C66E0E" w:rsidRPr="00C249D7">
        <w:rPr>
          <w:i/>
          <w:color w:val="0070C0"/>
          <w:sz w:val="22"/>
          <w:szCs w:val="22"/>
        </w:rPr>
        <w:t>na úrovni projektu</w:t>
      </w:r>
      <w:bookmarkEnd w:id="135"/>
      <w:bookmarkEnd w:id="136"/>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7" w:name="_Toc3360967"/>
      <w:bookmarkStart w:id="138" w:name="_Toc133932133"/>
      <w:bookmarkStart w:id="139" w:name="move463935252_6122"/>
      <w:r w:rsidRPr="00C249D7">
        <w:rPr>
          <w:i/>
          <w:color w:val="0070C0"/>
          <w:sz w:val="22"/>
          <w:szCs w:val="22"/>
        </w:rPr>
        <w:lastRenderedPageBreak/>
        <w:t>Následná monitorovacia správa (oznámenie prijímateľa o plnení podmienok udržateľnosti projektu)</w:t>
      </w:r>
      <w:bookmarkEnd w:id="137"/>
      <w:bookmarkEnd w:id="138"/>
    </w:p>
    <w:bookmarkEnd w:id="139"/>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40" w:name="_Toc3360968"/>
      <w:bookmarkStart w:id="141" w:name="_Toc133932134"/>
      <w:r w:rsidRPr="00C249D7">
        <w:rPr>
          <w:i/>
          <w:color w:val="0070C0"/>
          <w:sz w:val="22"/>
          <w:szCs w:val="22"/>
        </w:rPr>
        <w:t>Monitorovanie a hodnotenie stratégie CLLD</w:t>
      </w:r>
      <w:bookmarkEnd w:id="140"/>
      <w:bookmarkEnd w:id="141"/>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2"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3" w:name="_Toc133932135"/>
      <w:r w:rsidRPr="00C249D7">
        <w:rPr>
          <w:rFonts w:asciiTheme="minorHAnsi" w:hAnsiTheme="minorHAnsi" w:cs="Times New Roman"/>
          <w:color w:val="0070C0"/>
          <w:sz w:val="24"/>
          <w:szCs w:val="24"/>
        </w:rPr>
        <w:t>Finančná kontrola a audit projektov</w:t>
      </w:r>
      <w:bookmarkEnd w:id="134"/>
      <w:bookmarkEnd w:id="142"/>
      <w:bookmarkEnd w:id="143"/>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4" w:name="_2.5.1_Žiadosť_o"/>
      <w:bookmarkStart w:id="145" w:name="_4.5.1.1_Formálna_zmena"/>
      <w:bookmarkStart w:id="146" w:name="_4.5.1.2_Menej_významná"/>
      <w:bookmarkStart w:id="147" w:name="_2.5.2.2_Menej_významná"/>
      <w:bookmarkStart w:id="148" w:name="_4.5.1.3_Významnejšia_zmena"/>
      <w:bookmarkStart w:id="149" w:name="_2.5.2.3_Významnejšia_zmena"/>
      <w:bookmarkStart w:id="150" w:name="_4.5.1.4_Podstatná_zmena"/>
      <w:bookmarkStart w:id="151" w:name="_4.5.2.1_Zmena_Zmluvy"/>
      <w:bookmarkStart w:id="152" w:name="_2.5.2.1_Zmena_Zmluvy"/>
      <w:bookmarkStart w:id="153" w:name="_4.5.2.2_Zmena_VZP"/>
      <w:bookmarkStart w:id="154" w:name="_2.5.2.2_Zmena_VZP"/>
      <w:bookmarkEnd w:id="144"/>
      <w:bookmarkEnd w:id="145"/>
      <w:bookmarkEnd w:id="146"/>
      <w:bookmarkEnd w:id="147"/>
      <w:bookmarkEnd w:id="148"/>
      <w:bookmarkEnd w:id="149"/>
      <w:bookmarkEnd w:id="150"/>
      <w:bookmarkEnd w:id="151"/>
      <w:bookmarkEnd w:id="152"/>
      <w:bookmarkEnd w:id="153"/>
      <w:bookmarkEnd w:id="154"/>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lastRenderedPageBreak/>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 xml:space="preserve">finančných kontrol/auditov. Povinnosť prijímateľa vrátiť NFP alebo jeho časť, </w:t>
      </w:r>
      <w:r w:rsidRPr="00C249D7">
        <w:rPr>
          <w:rFonts w:asciiTheme="minorHAnsi" w:hAnsiTheme="minorHAnsi" w:cstheme="minorHAnsi"/>
          <w:sz w:val="22"/>
          <w:szCs w:val="22"/>
        </w:rPr>
        <w:lastRenderedPageBreak/>
        <w:t>ak táto povinnosť vyplynie z výsledku vykonanej finančnej kontroly/auditu kedykoľvek počas účinnosti Zmluvy, nie je dotknutá výsledkom predchádzajúcej finančnej kontroly/auditu.</w:t>
      </w:r>
      <w:bookmarkStart w:id="155" w:name="_2.7_Sankčný_mechanizmus"/>
      <w:bookmarkStart w:id="156" w:name="_2.7.1_Sankčný_mechanizmus_1"/>
      <w:bookmarkStart w:id="157" w:name="_2.7.1_Sankčný_mechanizmus"/>
      <w:bookmarkStart w:id="158" w:name="_Toc442124767"/>
      <w:bookmarkEnd w:id="155"/>
      <w:bookmarkEnd w:id="156"/>
      <w:bookmarkEnd w:id="157"/>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9" w:name="_Toc3360970"/>
      <w:bookmarkStart w:id="160" w:name="_Toc133932136"/>
      <w:r w:rsidRPr="00C249D7">
        <w:rPr>
          <w:i/>
          <w:color w:val="0070C0"/>
          <w:sz w:val="22"/>
          <w:szCs w:val="22"/>
        </w:rPr>
        <w:t>Udržateľnosť projektov a ukončovanie zmluvy o poskytnutí NFP</w:t>
      </w:r>
      <w:bookmarkEnd w:id="159"/>
      <w:bookmarkEnd w:id="160"/>
    </w:p>
    <w:bookmarkEnd w:id="158"/>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lastRenderedPageBreak/>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1"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2" w:name="_Toc133932137"/>
      <w:bookmarkStart w:id="163"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1"/>
      <w:bookmarkEnd w:id="162"/>
    </w:p>
    <w:bookmarkEnd w:id="163"/>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 xml:space="preserve">krátky opis projektu, ak je možné určiť prepojenie medzi účelom webového sídla </w:t>
      </w:r>
      <w:r w:rsidRPr="00C249D7">
        <w:rPr>
          <w:sz w:val="22"/>
          <w:szCs w:val="22"/>
        </w:rPr>
        <w:lastRenderedPageBreak/>
        <w:t>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4" w:name="_Toc3360980"/>
      <w:bookmarkStart w:id="165" w:name="_Toc133932138"/>
      <w:bookmarkStart w:id="166" w:name="move463935252_6161"/>
      <w:r w:rsidRPr="00C249D7">
        <w:rPr>
          <w:i/>
          <w:color w:val="0070C0"/>
          <w:sz w:val="22"/>
          <w:szCs w:val="22"/>
        </w:rPr>
        <w:t>Informovanie a komunikácia MAS</w:t>
      </w:r>
      <w:bookmarkEnd w:id="164"/>
      <w:bookmarkEnd w:id="165"/>
      <w:r w:rsidRPr="00C249D7">
        <w:rPr>
          <w:color w:val="0070C0"/>
          <w:sz w:val="22"/>
          <w:szCs w:val="22"/>
        </w:rPr>
        <w:t xml:space="preserve"> </w:t>
      </w:r>
    </w:p>
    <w:bookmarkEnd w:id="166"/>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lastRenderedPageBreak/>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7"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7"/>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8"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9" w:name="_Toc133932139"/>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9"/>
    </w:p>
    <w:p w14:paraId="2C41EB6D" w14:textId="3BE597FD" w:rsidR="003C389B" w:rsidRPr="00C249D7" w:rsidRDefault="00731BFC" w:rsidP="002739A9">
      <w:pPr>
        <w:pStyle w:val="Nadpis1"/>
        <w:numPr>
          <w:ilvl w:val="0"/>
          <w:numId w:val="367"/>
        </w:numPr>
        <w:rPr>
          <w:caps/>
          <w:color w:val="0070C0"/>
        </w:rPr>
      </w:pPr>
      <w:bookmarkStart w:id="170" w:name="_Toc3360982"/>
      <w:bookmarkStart w:id="171"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70"/>
      <w:bookmarkEnd w:id="171"/>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2" w:name="_Toc285812425"/>
      <w:bookmarkStart w:id="173" w:name="_Toc503942746"/>
      <w:bookmarkEnd w:id="172"/>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4" w:name="_Toc3360986"/>
      <w:bookmarkStart w:id="175" w:name="_Toc133932141"/>
      <w:r w:rsidRPr="00C249D7">
        <w:rPr>
          <w:rFonts w:asciiTheme="minorHAnsi" w:hAnsiTheme="minorHAnsi" w:cs="Times New Roman"/>
          <w:color w:val="0070C0"/>
          <w:sz w:val="24"/>
          <w:szCs w:val="24"/>
        </w:rPr>
        <w:t>Vypracovanie a predloženie ŽoNFP</w:t>
      </w:r>
      <w:bookmarkEnd w:id="173"/>
      <w:bookmarkEnd w:id="174"/>
      <w:bookmarkEnd w:id="175"/>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6" w:name="_Toc532292904"/>
            <w:r w:rsidRPr="00C249D7">
              <w:rPr>
                <w:rFonts w:cs="Arial"/>
                <w:b/>
                <w:smallCaps/>
                <w:color w:val="000000" w:themeColor="text1"/>
                <w:sz w:val="18"/>
                <w:szCs w:val="18"/>
              </w:rPr>
              <w:t>terminológia prv sr</w:t>
            </w:r>
            <w:bookmarkEnd w:id="176"/>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5"/>
            <w:r w:rsidRPr="00C249D7">
              <w:rPr>
                <w:rFonts w:cs="Arial"/>
                <w:b/>
                <w:smallCaps/>
                <w:color w:val="000000" w:themeColor="text1"/>
                <w:sz w:val="18"/>
                <w:szCs w:val="18"/>
              </w:rPr>
              <w:t>terminológia ešif</w:t>
            </w:r>
            <w:bookmarkEnd w:id="177"/>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6"/>
            <w:r w:rsidRPr="00C249D7">
              <w:rPr>
                <w:color w:val="000000" w:themeColor="text1"/>
                <w:sz w:val="18"/>
                <w:szCs w:val="18"/>
              </w:rPr>
              <w:t>priorita</w:t>
            </w:r>
            <w:bookmarkEnd w:id="178"/>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7"/>
            <w:r w:rsidRPr="00C249D7">
              <w:rPr>
                <w:color w:val="000000" w:themeColor="text1"/>
                <w:sz w:val="18"/>
                <w:szCs w:val="18"/>
              </w:rPr>
              <w:t>=</w:t>
            </w:r>
            <w:bookmarkEnd w:id="179"/>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8"/>
            <w:r w:rsidRPr="00C249D7">
              <w:rPr>
                <w:color w:val="000000" w:themeColor="text1"/>
                <w:sz w:val="18"/>
                <w:szCs w:val="18"/>
              </w:rPr>
              <w:t>tematický cieľ</w:t>
            </w:r>
            <w:bookmarkEnd w:id="180"/>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09"/>
            <w:r w:rsidRPr="00C249D7">
              <w:rPr>
                <w:color w:val="000000" w:themeColor="text1"/>
                <w:sz w:val="18"/>
                <w:szCs w:val="18"/>
              </w:rPr>
              <w:t>=</w:t>
            </w:r>
            <w:bookmarkEnd w:id="181"/>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0"/>
            <w:r w:rsidRPr="00C249D7">
              <w:rPr>
                <w:color w:val="000000" w:themeColor="text1"/>
                <w:sz w:val="18"/>
                <w:szCs w:val="18"/>
              </w:rPr>
              <w:t>investičná priorita</w:t>
            </w:r>
            <w:bookmarkEnd w:id="182"/>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1"/>
            <w:r w:rsidRPr="00C249D7">
              <w:rPr>
                <w:color w:val="000000" w:themeColor="text1"/>
                <w:sz w:val="18"/>
                <w:szCs w:val="18"/>
              </w:rPr>
              <w:t>opatrenie</w:t>
            </w:r>
            <w:bookmarkEnd w:id="183"/>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2"/>
            <w:r w:rsidRPr="00C249D7">
              <w:rPr>
                <w:color w:val="000000" w:themeColor="text1"/>
                <w:sz w:val="18"/>
                <w:szCs w:val="18"/>
              </w:rPr>
              <w:t>=</w:t>
            </w:r>
            <w:bookmarkEnd w:id="184"/>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3"/>
            <w:r w:rsidRPr="00C249D7">
              <w:rPr>
                <w:color w:val="000000" w:themeColor="text1"/>
                <w:sz w:val="18"/>
                <w:szCs w:val="18"/>
              </w:rPr>
              <w:t>prioritná os</w:t>
            </w:r>
            <w:bookmarkEnd w:id="185"/>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4"/>
            <w:r w:rsidRPr="00C249D7">
              <w:rPr>
                <w:color w:val="000000" w:themeColor="text1"/>
                <w:sz w:val="18"/>
                <w:szCs w:val="18"/>
              </w:rPr>
              <w:t>podopatrenie</w:t>
            </w:r>
            <w:bookmarkEnd w:id="186"/>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5"/>
            <w:r w:rsidRPr="00C249D7">
              <w:rPr>
                <w:color w:val="000000" w:themeColor="text1"/>
                <w:sz w:val="18"/>
                <w:szCs w:val="18"/>
              </w:rPr>
              <w:t>=</w:t>
            </w:r>
            <w:bookmarkEnd w:id="187"/>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6"/>
            <w:r w:rsidRPr="00C249D7">
              <w:rPr>
                <w:color w:val="000000" w:themeColor="text1"/>
                <w:sz w:val="18"/>
                <w:szCs w:val="18"/>
              </w:rPr>
              <w:t>špecifický cieľ</w:t>
            </w:r>
            <w:bookmarkEnd w:id="188"/>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7"/>
            <w:r w:rsidRPr="00C249D7">
              <w:rPr>
                <w:color w:val="000000" w:themeColor="text1"/>
                <w:sz w:val="18"/>
                <w:szCs w:val="18"/>
              </w:rPr>
              <w:t>oblasť/činnosť</w:t>
            </w:r>
            <w:bookmarkEnd w:id="189"/>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8"/>
            <w:r w:rsidRPr="00C249D7">
              <w:rPr>
                <w:color w:val="000000" w:themeColor="text1"/>
                <w:sz w:val="18"/>
                <w:szCs w:val="18"/>
              </w:rPr>
              <w:t>=</w:t>
            </w:r>
            <w:bookmarkEnd w:id="190"/>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1" w:name="_Toc532292919"/>
            <w:r w:rsidRPr="00C249D7">
              <w:rPr>
                <w:color w:val="000000" w:themeColor="text1"/>
                <w:sz w:val="18"/>
                <w:szCs w:val="18"/>
              </w:rPr>
              <w:t>typ aktivity</w:t>
            </w:r>
            <w:bookmarkEnd w:id="191"/>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w:t>
      </w:r>
      <w:r w:rsidRPr="00C249D7">
        <w:rPr>
          <w:b/>
          <w:color w:val="000000" w:themeColor="text1"/>
          <w:sz w:val="22"/>
          <w:szCs w:val="22"/>
        </w:rPr>
        <w:lastRenderedPageBreak/>
        <w:t xml:space="preserve">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2" w:name="_Toc503942763"/>
      <w:bookmarkStart w:id="193" w:name="_Toc3360987"/>
      <w:bookmarkStart w:id="194" w:name="_Toc133932142"/>
      <w:r w:rsidRPr="00C249D7">
        <w:rPr>
          <w:i/>
          <w:color w:val="0070C0"/>
          <w:sz w:val="22"/>
          <w:szCs w:val="22"/>
        </w:rPr>
        <w:t>Podmienky doručenia ŽoNFP</w:t>
      </w:r>
      <w:bookmarkEnd w:id="192"/>
      <w:bookmarkEnd w:id="193"/>
      <w:bookmarkEnd w:id="194"/>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5" w:name="_Toc3360989"/>
      <w:bookmarkStart w:id="196" w:name="_Toc133932143"/>
      <w:r w:rsidRPr="00C249D7">
        <w:rPr>
          <w:i/>
          <w:color w:val="0070C0"/>
          <w:sz w:val="22"/>
          <w:szCs w:val="22"/>
        </w:rPr>
        <w:t>Podmienky poskytnutia príspevku</w:t>
      </w:r>
      <w:bookmarkEnd w:id="195"/>
      <w:bookmarkEnd w:id="196"/>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7" w:name="_Toc3360990"/>
      <w:bookmarkStart w:id="198" w:name="_Toc133932144"/>
      <w:r w:rsidRPr="00C249D7">
        <w:rPr>
          <w:i/>
          <w:color w:val="0070C0"/>
          <w:sz w:val="22"/>
          <w:szCs w:val="22"/>
        </w:rPr>
        <w:t>Konanie o ŽoNFP</w:t>
      </w:r>
      <w:bookmarkEnd w:id="197"/>
      <w:bookmarkEnd w:id="198"/>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ŽoNFP (formálna kontrola </w:t>
      </w:r>
      <w:r w:rsidR="00360A63" w:rsidRPr="00C249D7">
        <w:rPr>
          <w:rFonts w:asciiTheme="minorHAnsi" w:eastAsia="Calibri" w:hAnsiTheme="minorHAnsi" w:cstheme="minorHAnsi"/>
          <w:color w:val="000000" w:themeColor="text1"/>
          <w:sz w:val="22"/>
        </w:rPr>
        <w:lastRenderedPageBreak/>
        <w:t>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9" w:name="_Toc3360991"/>
      <w:bookmarkStart w:id="200" w:name="_Toc133932145"/>
      <w:r w:rsidRPr="00C249D7">
        <w:rPr>
          <w:i/>
          <w:color w:val="0070C0"/>
          <w:sz w:val="22"/>
          <w:szCs w:val="22"/>
        </w:rPr>
        <w:t>Vydanie rozhodnutia</w:t>
      </w:r>
      <w:bookmarkEnd w:id="199"/>
      <w:bookmarkEnd w:id="200"/>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ŽoNFP schváliť z dôvodu nedostatku finančných prostriedkov určených v predmetnej výzve. Rozhodnutie o neschválení ŽoNFP, ktorá bola predmetom odborného </w:t>
      </w:r>
      <w:r w:rsidR="003C3F4E" w:rsidRPr="00C249D7">
        <w:rPr>
          <w:rFonts w:asciiTheme="minorHAnsi" w:hAnsiTheme="minorHAnsi" w:cstheme="minorHAnsi"/>
          <w:color w:val="000000" w:themeColor="text1"/>
          <w:sz w:val="22"/>
          <w:szCs w:val="22"/>
        </w:rPr>
        <w:lastRenderedPageBreak/>
        <w:t>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 xml:space="preserve">Písomné rozhodnutie o schválení ŽoNFP môže vo výroku rozhodnutia obsahovať podmienky, ktorých splnenie musí žiadateľ preukázať pred uzatvorením zmluvy o poskytnutí NFP vrátane </w:t>
      </w:r>
      <w:r w:rsidRPr="00C249D7">
        <w:rPr>
          <w:rFonts w:asciiTheme="minorHAnsi" w:hAnsiTheme="minorHAnsi"/>
          <w:color w:val="000000" w:themeColor="text1"/>
          <w:sz w:val="22"/>
          <w:szCs w:val="22"/>
        </w:rPr>
        <w:lastRenderedPageBreak/>
        <w:t>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w:t>
      </w:r>
      <w:r w:rsidRPr="00C249D7">
        <w:rPr>
          <w:rFonts w:asciiTheme="minorHAnsi" w:hAnsiTheme="minorHAnsi" w:cstheme="minorHAnsi"/>
          <w:color w:val="000000" w:themeColor="text1"/>
          <w:sz w:val="22"/>
          <w:szCs w:val="22"/>
        </w:rPr>
        <w:lastRenderedPageBreak/>
        <w:t xml:space="preserve">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1" w:name="_Toc478594293"/>
      <w:r w:rsidRPr="00C249D7">
        <w:rPr>
          <w:i/>
          <w:color w:val="0070C0"/>
          <w:sz w:val="22"/>
          <w:szCs w:val="22"/>
        </w:rPr>
        <w:t>Preskúmanie rozhodnutia mimo odvolacieho konania</w:t>
      </w:r>
      <w:bookmarkEnd w:id="201"/>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2" w:name="_Toc478594295"/>
      <w:r w:rsidRPr="00C249D7">
        <w:rPr>
          <w:i/>
          <w:color w:val="0070C0"/>
          <w:sz w:val="22"/>
          <w:szCs w:val="22"/>
        </w:rPr>
        <w:t>Preskúmanie rozhodnutia súdom/protest prokurátora</w:t>
      </w:r>
      <w:bookmarkEnd w:id="202"/>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lastRenderedPageBreak/>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3" w:name="_Toc3360992"/>
      <w:bookmarkStart w:id="204" w:name="_Toc133932146"/>
      <w:r w:rsidRPr="00C249D7">
        <w:rPr>
          <w:i/>
          <w:color w:val="0070C0"/>
          <w:sz w:val="22"/>
          <w:szCs w:val="22"/>
        </w:rPr>
        <w:t>Doručovanie</w:t>
      </w:r>
      <w:bookmarkEnd w:id="203"/>
      <w:bookmarkEnd w:id="204"/>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 xml:space="preserve">adresát neprevzal, vždy sa musí PPA vrátiť nedoručená neotvorená poštová </w:t>
      </w:r>
      <w:r w:rsidRPr="00C249D7">
        <w:rPr>
          <w:sz w:val="22"/>
          <w:szCs w:val="22"/>
        </w:rPr>
        <w:lastRenderedPageBreak/>
        <w:t>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5" w:name="_Toc3360993"/>
      <w:bookmarkStart w:id="206" w:name="_Toc133932147"/>
      <w:r w:rsidRPr="00C249D7">
        <w:rPr>
          <w:i/>
          <w:color w:val="0070C0"/>
          <w:sz w:val="22"/>
          <w:szCs w:val="22"/>
        </w:rPr>
        <w:t>Počítanie lehôt</w:t>
      </w:r>
      <w:bookmarkEnd w:id="205"/>
      <w:bookmarkEnd w:id="206"/>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7" w:name="_Toc3360994"/>
      <w:bookmarkStart w:id="208" w:name="_Toc133932148"/>
      <w:r w:rsidRPr="00C249D7">
        <w:rPr>
          <w:i/>
          <w:color w:val="0070C0"/>
          <w:sz w:val="22"/>
          <w:szCs w:val="22"/>
        </w:rPr>
        <w:t xml:space="preserve">Oprava </w:t>
      </w:r>
      <w:bookmarkEnd w:id="207"/>
      <w:r w:rsidR="00EA3DA0" w:rsidRPr="00C249D7">
        <w:rPr>
          <w:i/>
          <w:color w:val="0070C0"/>
          <w:sz w:val="22"/>
          <w:szCs w:val="22"/>
        </w:rPr>
        <w:t>rozhodnutia</w:t>
      </w:r>
      <w:bookmarkEnd w:id="208"/>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9" w:name="_Toc113541276"/>
      <w:bookmarkStart w:id="210"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9"/>
      <w:bookmarkEnd w:id="210"/>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1"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2" w:name="_Toc133932149"/>
      <w:r w:rsidRPr="00C249D7">
        <w:rPr>
          <w:rFonts w:asciiTheme="minorHAnsi" w:hAnsiTheme="minorHAnsi" w:cs="Times New Roman"/>
          <w:color w:val="0070C0"/>
          <w:sz w:val="24"/>
          <w:szCs w:val="24"/>
        </w:rPr>
        <w:t xml:space="preserve">Uzatvorenie zmluvy o poskytnutí </w:t>
      </w:r>
      <w:bookmarkEnd w:id="211"/>
      <w:r w:rsidR="00EA3DA0" w:rsidRPr="00C249D7">
        <w:rPr>
          <w:rFonts w:asciiTheme="minorHAnsi" w:hAnsiTheme="minorHAnsi" w:cs="Times New Roman"/>
          <w:color w:val="0070C0"/>
          <w:sz w:val="24"/>
          <w:szCs w:val="24"/>
        </w:rPr>
        <w:t>NFP</w:t>
      </w:r>
      <w:bookmarkEnd w:id="212"/>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w:t>
      </w:r>
      <w:r w:rsidR="009348E6" w:rsidRPr="00C249D7">
        <w:rPr>
          <w:rFonts w:asciiTheme="minorHAnsi" w:hAnsiTheme="minorHAnsi"/>
          <w:color w:val="000000" w:themeColor="text1"/>
          <w:sz w:val="22"/>
        </w:rPr>
        <w:lastRenderedPageBreak/>
        <w:t>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3" w:name="_Toc478594298"/>
      <w:bookmarkStart w:id="214" w:name="_Toc3360996"/>
      <w:bookmarkStart w:id="215" w:name="_Toc133932150"/>
      <w:r w:rsidRPr="00C249D7">
        <w:rPr>
          <w:i/>
          <w:color w:val="0070C0"/>
          <w:sz w:val="22"/>
          <w:szCs w:val="22"/>
        </w:rPr>
        <w:t>Zmena Zmluvy o poskytnutí NFP</w:t>
      </w:r>
      <w:bookmarkEnd w:id="213"/>
      <w:bookmarkEnd w:id="214"/>
      <w:bookmarkEnd w:id="215"/>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Sil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6" w:name="_Toc478594299"/>
      <w:bookmarkStart w:id="217" w:name="_Toc3360997"/>
      <w:bookmarkStart w:id="218" w:name="_Toc133932151"/>
      <w:r w:rsidRPr="00C249D7">
        <w:rPr>
          <w:i/>
          <w:color w:val="0070C0"/>
          <w:sz w:val="22"/>
          <w:szCs w:val="22"/>
        </w:rPr>
        <w:lastRenderedPageBreak/>
        <w:t>Ukončenie Zmluvy o poskytnutí NFP</w:t>
      </w:r>
      <w:bookmarkEnd w:id="216"/>
      <w:bookmarkEnd w:id="217"/>
      <w:bookmarkEnd w:id="218"/>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lastRenderedPageBreak/>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9" w:name="_Toc133932152"/>
      <w:bookmarkStart w:id="220" w:name="_Toc3361002"/>
      <w:r w:rsidRPr="0019300B">
        <w:rPr>
          <w:rFonts w:asciiTheme="minorHAnsi" w:hAnsiTheme="minorHAnsi" w:cs="Times New Roman"/>
          <w:color w:val="0070C0"/>
          <w:sz w:val="24"/>
          <w:szCs w:val="24"/>
        </w:rPr>
        <w:t>Oprávnenosť výdavkov</w:t>
      </w:r>
      <w:bookmarkEnd w:id="219"/>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w:t>
      </w:r>
      <w:r w:rsidRPr="00C249D7">
        <w:rPr>
          <w:rFonts w:cstheme="minorHAnsi"/>
          <w:color w:val="000000" w:themeColor="text1"/>
          <w:sz w:val="22"/>
          <w:szCs w:val="22"/>
        </w:rPr>
        <w:lastRenderedPageBreak/>
        <w:t xml:space="preserve">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1" w:name="_Toc481039483"/>
      <w:bookmarkEnd w:id="221"/>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2" w:name="_Toc133932153"/>
      <w:r w:rsidRPr="00C249D7">
        <w:rPr>
          <w:rFonts w:asciiTheme="minorHAnsi" w:hAnsiTheme="minorHAnsi" w:cstheme="minorHAnsi"/>
          <w:b/>
          <w:i/>
          <w:color w:val="0070C0"/>
          <w:sz w:val="22"/>
          <w:szCs w:val="22"/>
        </w:rPr>
        <w:lastRenderedPageBreak/>
        <w:t>Zjednodušené vykazovanie výdavkov</w:t>
      </w:r>
      <w:r w:rsidRPr="00C249D7">
        <w:rPr>
          <w:rStyle w:val="Odkaznapoznmkupodiarou"/>
          <w:rFonts w:asciiTheme="minorHAnsi" w:hAnsiTheme="minorHAnsi" w:cstheme="minorHAnsi"/>
          <w:b/>
          <w:i/>
          <w:color w:val="0070C0"/>
          <w:sz w:val="22"/>
          <w:szCs w:val="22"/>
        </w:rPr>
        <w:footnoteReference w:id="30"/>
      </w:r>
      <w:bookmarkEnd w:id="222"/>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w:t>
      </w:r>
      <w:r w:rsidRPr="00420635">
        <w:rPr>
          <w:color w:val="000000" w:themeColor="text1"/>
          <w:sz w:val="22"/>
          <w:szCs w:val="22"/>
        </w:rPr>
        <w:lastRenderedPageBreak/>
        <w:t xml:space="preserve">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3"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3"/>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 xml:space="preserve">plne dodržiavať všetky uplatniteľné právne predpisy </w:t>
            </w:r>
            <w:r w:rsidRPr="006E6013">
              <w:rPr>
                <w:rFonts w:asciiTheme="minorHAnsi" w:hAnsiTheme="minorHAnsi"/>
                <w:b/>
                <w:color w:val="000000" w:themeColor="text1"/>
                <w:sz w:val="18"/>
                <w:szCs w:val="18"/>
              </w:rPr>
              <w:lastRenderedPageBreak/>
              <w:t>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lastRenderedPageBreak/>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 xml:space="preserve">tejto kapitoly, v priebehu realizácie projektu sa môže odvolať na predchádzajúce overenie hospodárnosti za predpokladu, že vykonané overenie hospodárnosti považuje PPA za dostatočné a zároveň za splnenia podmienky, že sa neobjavili nové </w:t>
      </w:r>
      <w:r w:rsidRPr="00C249D7">
        <w:rPr>
          <w:sz w:val="22"/>
          <w:szCs w:val="22"/>
        </w:rPr>
        <w:lastRenderedPageBreak/>
        <w:t>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4" w:name="_Toc133932155"/>
      <w:r w:rsidRPr="00C249D7">
        <w:rPr>
          <w:caps/>
          <w:color w:val="0070C0"/>
          <w:sz w:val="36"/>
          <w:szCs w:val="36"/>
        </w:rPr>
        <w:lastRenderedPageBreak/>
        <w:t>ČASŤ C</w:t>
      </w:r>
      <w:r w:rsidR="00F11067" w:rsidRPr="00C249D7">
        <w:rPr>
          <w:caps/>
          <w:color w:val="0070C0"/>
          <w:sz w:val="36"/>
          <w:szCs w:val="36"/>
        </w:rPr>
        <w:t xml:space="preserve"> </w:t>
      </w:r>
      <w:bookmarkStart w:id="225" w:name="_Toc3361003"/>
      <w:bookmarkEnd w:id="220"/>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4"/>
      <w:bookmarkEnd w:id="225"/>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6"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6"/>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7" w:name="_Toc275077506"/>
      <w:bookmarkStart w:id="228" w:name="_Toc192579780"/>
      <w:bookmarkStart w:id="229" w:name="_Toc67460612"/>
      <w:bookmarkStart w:id="230" w:name="_Toc3361004"/>
      <w:bookmarkStart w:id="231" w:name="_Toc133932157"/>
      <w:bookmarkEnd w:id="227"/>
      <w:bookmarkEnd w:id="228"/>
      <w:bookmarkEnd w:id="229"/>
      <w:r w:rsidRPr="00C249D7">
        <w:rPr>
          <w:rFonts w:asciiTheme="minorHAnsi" w:hAnsiTheme="minorHAnsi" w:cs="Times New Roman"/>
          <w:color w:val="0070C0"/>
          <w:sz w:val="24"/>
          <w:szCs w:val="24"/>
        </w:rPr>
        <w:t>Povinnosti MAS v rámci implementácie stratégie CLLD</w:t>
      </w:r>
      <w:bookmarkEnd w:id="230"/>
      <w:bookmarkEnd w:id="231"/>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2" w:name="_Toc3361005"/>
      <w:bookmarkStart w:id="233" w:name="_Toc133932158"/>
      <w:r w:rsidRPr="00C249D7">
        <w:rPr>
          <w:rFonts w:asciiTheme="minorHAnsi" w:hAnsiTheme="minorHAnsi" w:cs="Times New Roman"/>
          <w:color w:val="0070C0"/>
          <w:sz w:val="24"/>
          <w:szCs w:val="24"/>
        </w:rPr>
        <w:t>Výzva</w:t>
      </w:r>
      <w:bookmarkEnd w:id="232"/>
      <w:bookmarkEnd w:id="233"/>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4" w:name="_Toc3361006"/>
      <w:bookmarkStart w:id="235" w:name="_Toc133932159"/>
      <w:r w:rsidRPr="00C249D7">
        <w:rPr>
          <w:i/>
          <w:color w:val="0070C0"/>
          <w:sz w:val="22"/>
          <w:szCs w:val="22"/>
        </w:rPr>
        <w:t>Harmonogram výziev</w:t>
      </w:r>
      <w:bookmarkEnd w:id="234"/>
      <w:bookmarkEnd w:id="235"/>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lastRenderedPageBreak/>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6" w:name="_Toc3361007"/>
      <w:bookmarkStart w:id="237" w:name="_Toc133932160"/>
      <w:r w:rsidRPr="00C249D7">
        <w:rPr>
          <w:i/>
          <w:color w:val="0070C0"/>
          <w:sz w:val="22"/>
          <w:szCs w:val="22"/>
        </w:rPr>
        <w:t>T</w:t>
      </w:r>
      <w:r w:rsidR="00A20B43" w:rsidRPr="00C249D7">
        <w:rPr>
          <w:i/>
          <w:color w:val="0070C0"/>
          <w:sz w:val="22"/>
          <w:szCs w:val="22"/>
        </w:rPr>
        <w:t>ypy výziev</w:t>
      </w:r>
      <w:bookmarkEnd w:id="236"/>
      <w:bookmarkEnd w:id="237"/>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8" w:name="move466019859"/>
      <w:bookmarkEnd w:id="238"/>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lastRenderedPageBreak/>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9"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9"/>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lastRenderedPageBreak/>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w:t>
      </w:r>
      <w:r w:rsidRPr="00C249D7">
        <w:rPr>
          <w:rFonts w:asciiTheme="minorHAnsi" w:hAnsiTheme="minorHAnsi"/>
          <w:sz w:val="22"/>
          <w:szCs w:val="22"/>
        </w:rPr>
        <w:lastRenderedPageBreak/>
        <w:t xml:space="preserve">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lastRenderedPageBreak/>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lastRenderedPageBreak/>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Siln"/>
                <w:rFonts w:asciiTheme="minorHAnsi" w:hAnsiTheme="minorHAnsi"/>
                <w:b w:val="0"/>
                <w:i/>
                <w:color w:val="000000" w:themeColor="text1"/>
                <w:sz w:val="18"/>
                <w:szCs w:val="18"/>
              </w:rPr>
              <w:t>4.</w:t>
            </w:r>
            <w:r w:rsidR="00B7009B" w:rsidRPr="00C249D7">
              <w:rPr>
                <w:rStyle w:val="Siln"/>
                <w:rFonts w:asciiTheme="minorHAnsi" w:hAnsiTheme="minorHAnsi"/>
                <w:b w:val="0"/>
                <w:i/>
                <w:color w:val="000000" w:themeColor="text1"/>
                <w:sz w:val="18"/>
                <w:szCs w:val="18"/>
              </w:rPr>
              <w:t>2, 4.3, 6.2, 6.4, 8.3, 8.4, 8.5</w:t>
            </w:r>
            <w:r w:rsidRPr="00C249D7">
              <w:rPr>
                <w:rStyle w:val="Sil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40" w:name="_Toc3361008"/>
      <w:bookmarkStart w:id="241"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40"/>
      <w:bookmarkEnd w:id="241"/>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lastRenderedPageBreak/>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lastRenderedPageBreak/>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lastRenderedPageBreak/>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lastRenderedPageBreak/>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2" w:name="_Toc3361009"/>
      <w:bookmarkStart w:id="243"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2"/>
      <w:bookmarkEnd w:id="243"/>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jednou výzvou s tým, že pre každé podopatrenie budú definované kvalifikačné predpoklady odborného hodnotiteľa vrátane tých, ktoré sú </w:t>
      </w:r>
      <w:r w:rsidRPr="00C249D7">
        <w:rPr>
          <w:rFonts w:asciiTheme="minorHAnsi" w:hAnsiTheme="minorHAnsi"/>
          <w:color w:val="000000" w:themeColor="text1"/>
          <w:sz w:val="22"/>
          <w:szCs w:val="22"/>
        </w:rPr>
        <w:lastRenderedPageBreak/>
        <w:t>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4" w:name="_Ref526332082"/>
      <w:r w:rsidRPr="00C249D7">
        <w:rPr>
          <w:rStyle w:val="Odkaznapoznmkupodiarou"/>
          <w:rFonts w:asciiTheme="minorHAnsi" w:hAnsiTheme="minorHAnsi"/>
          <w:color w:val="000000" w:themeColor="text1"/>
          <w:sz w:val="22"/>
          <w:szCs w:val="22"/>
        </w:rPr>
        <w:footnoteReference w:id="45"/>
      </w:r>
      <w:bookmarkEnd w:id="244"/>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lastRenderedPageBreak/>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lastRenderedPageBreak/>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5"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6"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5"/>
      <w:bookmarkEnd w:id="246"/>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7" w:name="_Ref469641591"/>
      <w:bookmarkStart w:id="248" w:name="_Toc285812420"/>
      <w:bookmarkStart w:id="249" w:name="_Toc287802135"/>
      <w:bookmarkStart w:id="250" w:name="_Toc464026399"/>
      <w:bookmarkStart w:id="251" w:name="_Toc468108164"/>
      <w:bookmarkStart w:id="252" w:name="_Toc284256899"/>
      <w:bookmarkStart w:id="253" w:name="_Toc285812424"/>
      <w:bookmarkStart w:id="254" w:name="_Toc285813220"/>
      <w:bookmarkStart w:id="255" w:name="_Toc287802139"/>
      <w:bookmarkStart w:id="256" w:name="_Toc285812425111"/>
      <w:bookmarkStart w:id="257" w:name="move463935252"/>
      <w:bookmarkStart w:id="258" w:name="_Toc464026402"/>
      <w:bookmarkStart w:id="259" w:name="_Toc468108170"/>
      <w:bookmarkEnd w:id="247"/>
      <w:bookmarkEnd w:id="248"/>
      <w:bookmarkEnd w:id="249"/>
      <w:bookmarkEnd w:id="250"/>
      <w:bookmarkEnd w:id="251"/>
      <w:bookmarkEnd w:id="252"/>
      <w:bookmarkEnd w:id="253"/>
      <w:bookmarkEnd w:id="254"/>
      <w:bookmarkEnd w:id="255"/>
      <w:bookmarkEnd w:id="256"/>
      <w:bookmarkEnd w:id="257"/>
      <w:bookmarkEnd w:id="258"/>
      <w:bookmarkEnd w:id="259"/>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60" w:name="_Toc3361017"/>
      <w:bookmarkStart w:id="261" w:name="_Toc133932164"/>
      <w:r w:rsidRPr="00C249D7">
        <w:rPr>
          <w:i/>
          <w:color w:val="0070C0"/>
          <w:sz w:val="22"/>
          <w:szCs w:val="22"/>
        </w:rPr>
        <w:lastRenderedPageBreak/>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60"/>
      <w:r w:rsidR="00346ED5" w:rsidRPr="00C249D7">
        <w:rPr>
          <w:i/>
          <w:color w:val="0070C0"/>
          <w:sz w:val="22"/>
          <w:szCs w:val="22"/>
        </w:rPr>
        <w:t xml:space="preserve"> a formálna kontrola</w:t>
      </w:r>
      <w:bookmarkEnd w:id="261"/>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2" w:name="_Toc3361018"/>
      <w:bookmarkStart w:id="263"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2"/>
      <w:bookmarkEnd w:id="263"/>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lastRenderedPageBreak/>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lastRenderedPageBreak/>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4" w:name="_Toc3361019"/>
      <w:bookmarkStart w:id="265" w:name="_Toc133932166"/>
      <w:r w:rsidRPr="00C249D7">
        <w:rPr>
          <w:i/>
          <w:color w:val="0070C0"/>
          <w:sz w:val="22"/>
          <w:szCs w:val="22"/>
        </w:rPr>
        <w:t>Odborné hodnotenie</w:t>
      </w:r>
      <w:bookmarkEnd w:id="264"/>
      <w:bookmarkEnd w:id="265"/>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lastRenderedPageBreak/>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lastRenderedPageBreak/>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6" w:name="_Toc3361020"/>
      <w:bookmarkStart w:id="267" w:name="_Toc133932167"/>
      <w:r w:rsidRPr="00C249D7">
        <w:rPr>
          <w:i/>
          <w:color w:val="0070C0"/>
          <w:sz w:val="22"/>
          <w:szCs w:val="22"/>
        </w:rPr>
        <w:t>Výber ŽoNFP</w:t>
      </w:r>
      <w:bookmarkEnd w:id="266"/>
      <w:bookmarkEnd w:id="267"/>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8" w:name="_Toc3361021"/>
      <w:bookmarkStart w:id="269" w:name="_Toc133932168"/>
      <w:bookmarkStart w:id="270"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1" w:name="_Toc285812460"/>
      <w:bookmarkEnd w:id="268"/>
      <w:bookmarkEnd w:id="269"/>
      <w:bookmarkEnd w:id="271"/>
    </w:p>
    <w:bookmarkEnd w:id="270"/>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lastRenderedPageBreak/>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 xml:space="preserve">Po elektronickom </w:t>
      </w:r>
      <w:r w:rsidRPr="00C249D7">
        <w:rPr>
          <w:rFonts w:asciiTheme="minorHAnsi" w:hAnsiTheme="minorHAnsi" w:cstheme="minorHAnsi"/>
          <w:bCs/>
          <w:color w:val="000000" w:themeColor="text1"/>
          <w:sz w:val="22"/>
        </w:rPr>
        <w:lastRenderedPageBreak/>
        <w:t>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lastRenderedPageBreak/>
        <w:t>V prípade, že PPA dospeje k záveru, že ŽoNFP je nekompletná z dôvodu, že žiadateľ ŽoNFP nedoplnil v stanovenej lehote, PPA v zmysle §20, ods. 1, písm. c) zákona o príspevku z EŠIF konanie zastaví a vydá Rozhodnutie o zastavení konania.</w:t>
      </w:r>
      <w:bookmarkStart w:id="272" w:name="_Toc285812465"/>
      <w:bookmarkEnd w:id="272"/>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3" w:name="_Toc3361023"/>
      <w:bookmarkStart w:id="274" w:name="_Toc133932169"/>
      <w:r w:rsidRPr="00C249D7">
        <w:rPr>
          <w:caps/>
          <w:color w:val="0070C0"/>
          <w:sz w:val="24"/>
          <w:szCs w:val="24"/>
        </w:rPr>
        <w:t>ITMS2014+</w:t>
      </w:r>
      <w:bookmarkEnd w:id="273"/>
      <w:bookmarkEnd w:id="274"/>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5" w:name="_Toc18580612"/>
      <w:bookmarkStart w:id="276" w:name="_Toc19876882"/>
      <w:bookmarkStart w:id="277" w:name="_Toc24545900"/>
      <w:bookmarkStart w:id="278" w:name="_Toc18580613"/>
      <w:bookmarkStart w:id="279" w:name="_Toc19876883"/>
      <w:bookmarkStart w:id="280" w:name="_Toc24545901"/>
      <w:bookmarkStart w:id="281" w:name="_Toc113541298"/>
      <w:bookmarkStart w:id="282" w:name="_Toc497727826"/>
      <w:bookmarkStart w:id="283" w:name="_Toc3361024"/>
      <w:bookmarkEnd w:id="275"/>
      <w:bookmarkEnd w:id="276"/>
      <w:bookmarkEnd w:id="277"/>
      <w:bookmarkEnd w:id="278"/>
      <w:bookmarkEnd w:id="279"/>
      <w:bookmarkEnd w:id="280"/>
      <w:bookmarkEnd w:id="281"/>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4" w:name="_Toc133932170"/>
      <w:r w:rsidRPr="00C249D7">
        <w:rPr>
          <w:rFonts w:asciiTheme="minorHAnsi" w:hAnsiTheme="minorHAnsi" w:cs="Times New Roman"/>
          <w:color w:val="0070C0"/>
          <w:sz w:val="24"/>
          <w:szCs w:val="24"/>
        </w:rPr>
        <w:t>Systém ITMS2014+ a implementácia opatrenia 19.</w:t>
      </w:r>
      <w:bookmarkEnd w:id="282"/>
      <w:bookmarkEnd w:id="283"/>
      <w:bookmarkEnd w:id="284"/>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5" w:name="_Toc532293426"/>
            <w:bookmarkStart w:id="286" w:name="_Toc532293578"/>
            <w:r w:rsidRPr="00C249D7">
              <w:rPr>
                <w:sz w:val="18"/>
                <w:szCs w:val="18"/>
              </w:rPr>
              <w:t>terminológia prv sr</w:t>
            </w:r>
            <w:bookmarkEnd w:id="285"/>
            <w:bookmarkEnd w:id="286"/>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7" w:name="_Toc532293427"/>
            <w:bookmarkStart w:id="288" w:name="_Toc532293579"/>
            <w:r w:rsidRPr="00C249D7">
              <w:rPr>
                <w:sz w:val="18"/>
                <w:szCs w:val="18"/>
              </w:rPr>
              <w:t>terminológia ešif</w:t>
            </w:r>
            <w:bookmarkEnd w:id="287"/>
            <w:bookmarkEnd w:id="288"/>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9" w:name="_Toc532293428"/>
            <w:bookmarkStart w:id="290" w:name="_Toc532293580"/>
            <w:r w:rsidRPr="00C249D7">
              <w:rPr>
                <w:sz w:val="18"/>
                <w:szCs w:val="18"/>
              </w:rPr>
              <w:t>P</w:t>
            </w:r>
            <w:r w:rsidR="00341C59" w:rsidRPr="00C249D7">
              <w:rPr>
                <w:sz w:val="18"/>
                <w:szCs w:val="18"/>
              </w:rPr>
              <w:t>riorita</w:t>
            </w:r>
            <w:bookmarkEnd w:id="289"/>
            <w:bookmarkEnd w:id="290"/>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1" w:name="_Toc532293429"/>
            <w:bookmarkStart w:id="292" w:name="_Toc532293581"/>
            <w:r w:rsidRPr="00C249D7">
              <w:rPr>
                <w:sz w:val="18"/>
                <w:szCs w:val="18"/>
              </w:rPr>
              <w:t>=</w:t>
            </w:r>
            <w:bookmarkEnd w:id="291"/>
            <w:bookmarkEnd w:id="292"/>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3" w:name="_Toc532293430"/>
            <w:bookmarkStart w:id="294" w:name="_Toc532293582"/>
            <w:r w:rsidRPr="00C249D7">
              <w:rPr>
                <w:sz w:val="18"/>
                <w:szCs w:val="18"/>
              </w:rPr>
              <w:t>tematický cieľ</w:t>
            </w:r>
            <w:bookmarkEnd w:id="293"/>
            <w:bookmarkEnd w:id="294"/>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5" w:name="_Toc532293431"/>
            <w:bookmarkStart w:id="296" w:name="_Toc532293583"/>
            <w:r w:rsidRPr="00C249D7">
              <w:rPr>
                <w:sz w:val="18"/>
                <w:szCs w:val="18"/>
              </w:rPr>
              <w:t>=</w:t>
            </w:r>
            <w:bookmarkEnd w:id="295"/>
            <w:bookmarkEnd w:id="296"/>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7" w:name="_Toc532293432"/>
            <w:bookmarkStart w:id="298" w:name="_Toc532293584"/>
            <w:r w:rsidRPr="00C249D7">
              <w:rPr>
                <w:sz w:val="18"/>
                <w:szCs w:val="18"/>
              </w:rPr>
              <w:t>investičná priorita</w:t>
            </w:r>
            <w:bookmarkEnd w:id="297"/>
            <w:bookmarkEnd w:id="298"/>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9" w:name="_Toc532293433"/>
            <w:bookmarkStart w:id="300" w:name="_Toc532293585"/>
            <w:r w:rsidRPr="00C249D7">
              <w:rPr>
                <w:sz w:val="18"/>
                <w:szCs w:val="18"/>
              </w:rPr>
              <w:t>O</w:t>
            </w:r>
            <w:r w:rsidR="00341C59" w:rsidRPr="00C249D7">
              <w:rPr>
                <w:sz w:val="18"/>
                <w:szCs w:val="18"/>
              </w:rPr>
              <w:t>patrenie</w:t>
            </w:r>
            <w:bookmarkEnd w:id="299"/>
            <w:bookmarkEnd w:id="300"/>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1" w:name="_Toc532293434"/>
            <w:bookmarkStart w:id="302" w:name="_Toc532293586"/>
            <w:r w:rsidRPr="00C249D7">
              <w:rPr>
                <w:sz w:val="18"/>
                <w:szCs w:val="18"/>
              </w:rPr>
              <w:t>=</w:t>
            </w:r>
            <w:bookmarkEnd w:id="301"/>
            <w:bookmarkEnd w:id="302"/>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3" w:name="_Toc532293435"/>
            <w:bookmarkStart w:id="304" w:name="_Toc532293587"/>
            <w:r w:rsidRPr="00C249D7">
              <w:rPr>
                <w:sz w:val="18"/>
                <w:szCs w:val="18"/>
              </w:rPr>
              <w:t>prioritná os</w:t>
            </w:r>
            <w:bookmarkEnd w:id="303"/>
            <w:bookmarkEnd w:id="304"/>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5" w:name="_Toc532293436"/>
            <w:bookmarkStart w:id="306" w:name="_Toc532293588"/>
            <w:r w:rsidRPr="00C249D7">
              <w:rPr>
                <w:sz w:val="18"/>
                <w:szCs w:val="18"/>
              </w:rPr>
              <w:t>P</w:t>
            </w:r>
            <w:r w:rsidR="00341C59" w:rsidRPr="00C249D7">
              <w:rPr>
                <w:sz w:val="18"/>
                <w:szCs w:val="18"/>
              </w:rPr>
              <w:t>odopatrenie</w:t>
            </w:r>
            <w:bookmarkEnd w:id="305"/>
            <w:bookmarkEnd w:id="306"/>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7" w:name="_Toc532293437"/>
            <w:bookmarkStart w:id="308" w:name="_Toc532293589"/>
            <w:r w:rsidRPr="00C249D7">
              <w:rPr>
                <w:sz w:val="18"/>
                <w:szCs w:val="18"/>
              </w:rPr>
              <w:t>=</w:t>
            </w:r>
            <w:bookmarkEnd w:id="307"/>
            <w:bookmarkEnd w:id="308"/>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9" w:name="_Toc532293438"/>
            <w:bookmarkStart w:id="310" w:name="_Toc532293590"/>
            <w:r w:rsidRPr="00C249D7">
              <w:rPr>
                <w:sz w:val="18"/>
                <w:szCs w:val="18"/>
              </w:rPr>
              <w:t>špecifický cieľ</w:t>
            </w:r>
            <w:bookmarkEnd w:id="309"/>
            <w:bookmarkEnd w:id="310"/>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1" w:name="_Toc532293439"/>
            <w:bookmarkStart w:id="312" w:name="_Toc532293591"/>
            <w:r w:rsidRPr="00C249D7">
              <w:rPr>
                <w:sz w:val="18"/>
                <w:szCs w:val="18"/>
              </w:rPr>
              <w:t>oblasť/činnosť</w:t>
            </w:r>
            <w:bookmarkEnd w:id="311"/>
            <w:bookmarkEnd w:id="312"/>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3" w:name="_Toc532293440"/>
            <w:bookmarkStart w:id="314" w:name="_Toc532293592"/>
            <w:r w:rsidRPr="00C249D7">
              <w:rPr>
                <w:sz w:val="18"/>
                <w:szCs w:val="18"/>
              </w:rPr>
              <w:t>=</w:t>
            </w:r>
            <w:bookmarkEnd w:id="313"/>
            <w:bookmarkEnd w:id="314"/>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5" w:name="_Toc532293441"/>
            <w:bookmarkStart w:id="316" w:name="_Toc532293593"/>
            <w:r w:rsidRPr="00C249D7">
              <w:rPr>
                <w:sz w:val="18"/>
                <w:szCs w:val="18"/>
              </w:rPr>
              <w:t>typ aktivity</w:t>
            </w:r>
            <w:bookmarkEnd w:id="315"/>
            <w:bookmarkEnd w:id="316"/>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7" w:name="_Toc3361025"/>
      <w:bookmarkStart w:id="318" w:name="move463935252_92"/>
      <w:bookmarkStart w:id="319" w:name="_Toc133932171"/>
      <w:r w:rsidRPr="00C249D7">
        <w:rPr>
          <w:rFonts w:asciiTheme="minorHAnsi" w:hAnsiTheme="minorHAnsi" w:cs="Times New Roman"/>
          <w:color w:val="0070C0"/>
          <w:sz w:val="24"/>
          <w:szCs w:val="24"/>
        </w:rPr>
        <w:lastRenderedPageBreak/>
        <w:t>Postup vytvorenia stratégie CLLD v aplikácii ITMS2014</w:t>
      </w:r>
      <w:bookmarkEnd w:id="317"/>
      <w:r w:rsidR="000659F7" w:rsidRPr="00C249D7">
        <w:rPr>
          <w:rFonts w:asciiTheme="minorHAnsi" w:hAnsiTheme="minorHAnsi" w:cs="Times New Roman"/>
          <w:color w:val="0070C0"/>
          <w:sz w:val="24"/>
          <w:szCs w:val="24"/>
        </w:rPr>
        <w:t>+</w:t>
      </w:r>
      <w:bookmarkEnd w:id="318"/>
      <w:bookmarkEnd w:id="319"/>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lastRenderedPageBreak/>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20"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1" w:name="_Toc3361026"/>
      <w:bookmarkStart w:id="322" w:name="_Toc133932172"/>
      <w:r w:rsidRPr="00C249D7">
        <w:rPr>
          <w:color w:val="0070C0"/>
        </w:rPr>
        <w:lastRenderedPageBreak/>
        <w:t>Zoznam príloh</w:t>
      </w:r>
      <w:bookmarkEnd w:id="320"/>
      <w:bookmarkEnd w:id="321"/>
      <w:bookmarkEnd w:id="322"/>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3" w:name="_Toc107124234"/>
            <w:bookmarkStart w:id="324" w:name="_Toc133932173"/>
            <w:r w:rsidRPr="00105DCB">
              <w:rPr>
                <w:color w:val="auto"/>
                <w:sz w:val="22"/>
                <w:szCs w:val="22"/>
              </w:rPr>
              <w:t>Oprávnenosť výdavkov spojených s riadením vykonávania stratégie CLLD</w:t>
            </w:r>
            <w:bookmarkEnd w:id="323"/>
            <w:bookmarkEnd w:id="324"/>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5" w:name="_Toc412635121"/>
            <w:bookmarkStart w:id="326" w:name="_Toc506982268"/>
            <w:r w:rsidRPr="00C249D7">
              <w:rPr>
                <w:color w:val="000000" w:themeColor="text1"/>
                <w:sz w:val="22"/>
                <w:szCs w:val="22"/>
              </w:rPr>
              <w:t>Koordinácia synergických účinkov a komplementarít medzi EŠIF, ostatnými nástrojmi podpory EÚ/SR</w:t>
            </w:r>
            <w:bookmarkEnd w:id="325"/>
            <w:bookmarkEnd w:id="326"/>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8"/>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C5F6" w14:textId="77777777" w:rsidR="00F82DA9" w:rsidRDefault="00F82DA9" w:rsidP="004052E4">
      <w:pPr>
        <w:spacing w:after="0" w:line="240" w:lineRule="auto"/>
      </w:pPr>
      <w:r>
        <w:separator/>
      </w:r>
    </w:p>
  </w:endnote>
  <w:endnote w:type="continuationSeparator" w:id="0">
    <w:p w14:paraId="50CCC6B7" w14:textId="77777777" w:rsidR="00F82DA9" w:rsidRDefault="00F82DA9" w:rsidP="004052E4">
      <w:pPr>
        <w:spacing w:after="0" w:line="240" w:lineRule="auto"/>
      </w:pPr>
      <w:r>
        <w:continuationSeparator/>
      </w:r>
    </w:p>
  </w:endnote>
  <w:endnote w:type="continuationNotice" w:id="1">
    <w:p w14:paraId="4B8FC569" w14:textId="77777777" w:rsidR="00F82DA9" w:rsidRDefault="00F82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2CDD" w14:textId="1F09678C"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865A4" w:rsidRPr="00E865A4">
      <w:rPr>
        <w:rFonts w:eastAsiaTheme="majorEastAsia"/>
        <w:noProof/>
        <w:sz w:val="18"/>
        <w:szCs w:val="18"/>
      </w:rPr>
      <w:t>2</w:t>
    </w:r>
    <w:r w:rsidRPr="00B96A8C">
      <w:rPr>
        <w:rFonts w:eastAsiaTheme="majorEastAsi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776DC7F1"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865A4" w:rsidRPr="00E865A4">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2FCE" w14:textId="327A7FA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E865A4" w:rsidRPr="00E865A4">
      <w:rPr>
        <w:rFonts w:asciiTheme="minorHAnsi" w:eastAsiaTheme="majorEastAsia" w:hAnsiTheme="minorHAnsi" w:cstheme="minorHAnsi"/>
        <w:noProof/>
        <w:sz w:val="20"/>
        <w:szCs w:val="20"/>
      </w:rPr>
      <w:t>22</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C5DF4" w14:textId="77777777" w:rsidR="00F82DA9" w:rsidRDefault="00F82DA9" w:rsidP="004052E4">
      <w:pPr>
        <w:spacing w:after="0" w:line="240" w:lineRule="auto"/>
      </w:pPr>
      <w:r>
        <w:separator/>
      </w:r>
    </w:p>
  </w:footnote>
  <w:footnote w:type="continuationSeparator" w:id="0">
    <w:p w14:paraId="0254A34A" w14:textId="77777777" w:rsidR="00F82DA9" w:rsidRDefault="00F82DA9" w:rsidP="004052E4">
      <w:pPr>
        <w:spacing w:after="0" w:line="240" w:lineRule="auto"/>
      </w:pPr>
      <w:r>
        <w:continuationSeparator/>
      </w:r>
    </w:p>
  </w:footnote>
  <w:footnote w:type="continuationNotice" w:id="1">
    <w:p w14:paraId="680A5DA8" w14:textId="77777777" w:rsidR="00F82DA9" w:rsidRDefault="00F82DA9">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79"/>
  </w:num>
  <w:num w:numId="3">
    <w:abstractNumId w:val="0"/>
  </w:num>
  <w:num w:numId="4">
    <w:abstractNumId w:val="250"/>
  </w:num>
  <w:num w:numId="5">
    <w:abstractNumId w:val="276"/>
  </w:num>
  <w:num w:numId="6">
    <w:abstractNumId w:val="94"/>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2"/>
  </w:num>
  <w:num w:numId="9">
    <w:abstractNumId w:val="124"/>
  </w:num>
  <w:num w:numId="10">
    <w:abstractNumId w:val="41"/>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59"/>
  </w:num>
  <w:num w:numId="15">
    <w:abstractNumId w:val="362"/>
  </w:num>
  <w:num w:numId="16">
    <w:abstractNumId w:val="338"/>
  </w:num>
  <w:num w:numId="17">
    <w:abstractNumId w:val="381"/>
  </w:num>
  <w:num w:numId="18">
    <w:abstractNumId w:val="285"/>
  </w:num>
  <w:num w:numId="19">
    <w:abstractNumId w:val="163"/>
  </w:num>
  <w:num w:numId="20">
    <w:abstractNumId w:val="70"/>
  </w:num>
  <w:num w:numId="21">
    <w:abstractNumId w:val="367"/>
  </w:num>
  <w:num w:numId="22">
    <w:abstractNumId w:val="165"/>
  </w:num>
  <w:num w:numId="23">
    <w:abstractNumId w:val="296"/>
  </w:num>
  <w:num w:numId="24">
    <w:abstractNumId w:val="85"/>
  </w:num>
  <w:num w:numId="25">
    <w:abstractNumId w:val="328"/>
  </w:num>
  <w:num w:numId="26">
    <w:abstractNumId w:val="199"/>
  </w:num>
  <w:num w:numId="27">
    <w:abstractNumId w:val="348"/>
  </w:num>
  <w:num w:numId="28">
    <w:abstractNumId w:val="293"/>
  </w:num>
  <w:num w:numId="29">
    <w:abstractNumId w:val="350"/>
  </w:num>
  <w:num w:numId="30">
    <w:abstractNumId w:val="119"/>
  </w:num>
  <w:num w:numId="31">
    <w:abstractNumId w:val="187"/>
  </w:num>
  <w:num w:numId="32">
    <w:abstractNumId w:val="345"/>
  </w:num>
  <w:num w:numId="33">
    <w:abstractNumId w:val="66"/>
  </w:num>
  <w:num w:numId="34">
    <w:abstractNumId w:val="197"/>
  </w:num>
  <w:num w:numId="35">
    <w:abstractNumId w:val="108"/>
  </w:num>
  <w:num w:numId="36">
    <w:abstractNumId w:val="346"/>
  </w:num>
  <w:num w:numId="37">
    <w:abstractNumId w:val="241"/>
  </w:num>
  <w:num w:numId="38">
    <w:abstractNumId w:val="218"/>
  </w:num>
  <w:num w:numId="39">
    <w:abstractNumId w:val="380"/>
  </w:num>
  <w:num w:numId="40">
    <w:abstractNumId w:val="45"/>
  </w:num>
  <w:num w:numId="41">
    <w:abstractNumId w:val="290"/>
  </w:num>
  <w:num w:numId="42">
    <w:abstractNumId w:val="133"/>
  </w:num>
  <w:num w:numId="43">
    <w:abstractNumId w:val="170"/>
  </w:num>
  <w:num w:numId="44">
    <w:abstractNumId w:val="298"/>
  </w:num>
  <w:num w:numId="45">
    <w:abstractNumId w:val="121"/>
  </w:num>
  <w:num w:numId="46">
    <w:abstractNumId w:val="317"/>
  </w:num>
  <w:num w:numId="47">
    <w:abstractNumId w:val="360"/>
  </w:num>
  <w:num w:numId="48">
    <w:abstractNumId w:val="277"/>
  </w:num>
  <w:num w:numId="49">
    <w:abstractNumId w:val="341"/>
  </w:num>
  <w:num w:numId="50">
    <w:abstractNumId w:val="288"/>
  </w:num>
  <w:num w:numId="51">
    <w:abstractNumId w:val="225"/>
  </w:num>
  <w:num w:numId="52">
    <w:abstractNumId w:val="354"/>
  </w:num>
  <w:num w:numId="53">
    <w:abstractNumId w:val="383"/>
  </w:num>
  <w:num w:numId="54">
    <w:abstractNumId w:val="77"/>
  </w:num>
  <w:num w:numId="55">
    <w:abstractNumId w:val="36"/>
  </w:num>
  <w:num w:numId="56">
    <w:abstractNumId w:val="80"/>
  </w:num>
  <w:num w:numId="57">
    <w:abstractNumId w:val="168"/>
  </w:num>
  <w:num w:numId="58">
    <w:abstractNumId w:val="275"/>
  </w:num>
  <w:num w:numId="59">
    <w:abstractNumId w:val="44"/>
  </w:num>
  <w:num w:numId="60">
    <w:abstractNumId w:val="20"/>
  </w:num>
  <w:num w:numId="61">
    <w:abstractNumId w:val="6"/>
  </w:num>
  <w:num w:numId="62">
    <w:abstractNumId w:val="229"/>
  </w:num>
  <w:num w:numId="63">
    <w:abstractNumId w:val="81"/>
  </w:num>
  <w:num w:numId="64">
    <w:abstractNumId w:val="189"/>
  </w:num>
  <w:num w:numId="65">
    <w:abstractNumId w:val="274"/>
  </w:num>
  <w:num w:numId="66">
    <w:abstractNumId w:val="51"/>
  </w:num>
  <w:num w:numId="67">
    <w:abstractNumId w:val="370"/>
  </w:num>
  <w:num w:numId="68">
    <w:abstractNumId w:val="8"/>
  </w:num>
  <w:num w:numId="69">
    <w:abstractNumId w:val="154"/>
  </w:num>
  <w:num w:numId="70">
    <w:abstractNumId w:val="49"/>
  </w:num>
  <w:num w:numId="71">
    <w:abstractNumId w:val="130"/>
  </w:num>
  <w:num w:numId="72">
    <w:abstractNumId w:val="120"/>
  </w:num>
  <w:num w:numId="73">
    <w:abstractNumId w:val="291"/>
  </w:num>
  <w:num w:numId="74">
    <w:abstractNumId w:val="322"/>
  </w:num>
  <w:num w:numId="75">
    <w:abstractNumId w:val="40"/>
  </w:num>
  <w:num w:numId="76">
    <w:abstractNumId w:val="219"/>
  </w:num>
  <w:num w:numId="77">
    <w:abstractNumId w:val="179"/>
  </w:num>
  <w:num w:numId="78">
    <w:abstractNumId w:val="136"/>
  </w:num>
  <w:num w:numId="79">
    <w:abstractNumId w:val="32"/>
  </w:num>
  <w:num w:numId="80">
    <w:abstractNumId w:val="196"/>
  </w:num>
  <w:num w:numId="81">
    <w:abstractNumId w:val="26"/>
  </w:num>
  <w:num w:numId="82">
    <w:abstractNumId w:val="158"/>
  </w:num>
  <w:num w:numId="83">
    <w:abstractNumId w:val="78"/>
  </w:num>
  <w:num w:numId="84">
    <w:abstractNumId w:val="314"/>
  </w:num>
  <w:num w:numId="85">
    <w:abstractNumId w:val="355"/>
  </w:num>
  <w:num w:numId="86">
    <w:abstractNumId w:val="134"/>
  </w:num>
  <w:num w:numId="87">
    <w:abstractNumId w:val="321"/>
  </w:num>
  <w:num w:numId="88">
    <w:abstractNumId w:val="236"/>
  </w:num>
  <w:num w:numId="89">
    <w:abstractNumId w:val="34"/>
  </w:num>
  <w:num w:numId="90">
    <w:abstractNumId w:val="278"/>
  </w:num>
  <w:num w:numId="91">
    <w:abstractNumId w:val="343"/>
  </w:num>
  <w:num w:numId="92">
    <w:abstractNumId w:val="300"/>
  </w:num>
  <w:num w:numId="93">
    <w:abstractNumId w:val="227"/>
  </w:num>
  <w:num w:numId="94">
    <w:abstractNumId w:val="150"/>
  </w:num>
  <w:num w:numId="95">
    <w:abstractNumId w:val="282"/>
  </w:num>
  <w:num w:numId="96">
    <w:abstractNumId w:val="281"/>
  </w:num>
  <w:num w:numId="97">
    <w:abstractNumId w:val="90"/>
  </w:num>
  <w:num w:numId="98">
    <w:abstractNumId w:val="382"/>
  </w:num>
  <w:num w:numId="99">
    <w:abstractNumId w:val="310"/>
  </w:num>
  <w:num w:numId="100">
    <w:abstractNumId w:val="7"/>
  </w:num>
  <w:num w:numId="101">
    <w:abstractNumId w:val="306"/>
  </w:num>
  <w:num w:numId="102">
    <w:abstractNumId w:val="235"/>
  </w:num>
  <w:num w:numId="103">
    <w:abstractNumId w:val="42"/>
  </w:num>
  <w:num w:numId="104">
    <w:abstractNumId w:val="358"/>
  </w:num>
  <w:num w:numId="105">
    <w:abstractNumId w:val="200"/>
  </w:num>
  <w:num w:numId="106">
    <w:abstractNumId w:val="105"/>
  </w:num>
  <w:num w:numId="107">
    <w:abstractNumId w:val="160"/>
  </w:num>
  <w:num w:numId="108">
    <w:abstractNumId w:val="166"/>
  </w:num>
  <w:num w:numId="109">
    <w:abstractNumId w:val="173"/>
  </w:num>
  <w:num w:numId="110">
    <w:abstractNumId w:val="325"/>
  </w:num>
  <w:num w:numId="111">
    <w:abstractNumId w:val="23"/>
  </w:num>
  <w:num w:numId="112">
    <w:abstractNumId w:val="222"/>
  </w:num>
  <w:num w:numId="113">
    <w:abstractNumId w:val="37"/>
  </w:num>
  <w:num w:numId="114">
    <w:abstractNumId w:val="315"/>
  </w:num>
  <w:num w:numId="115">
    <w:abstractNumId w:val="249"/>
  </w:num>
  <w:num w:numId="116">
    <w:abstractNumId w:val="33"/>
  </w:num>
  <w:num w:numId="117">
    <w:abstractNumId w:val="220"/>
  </w:num>
  <w:num w:numId="118">
    <w:abstractNumId w:val="95"/>
  </w:num>
  <w:num w:numId="119">
    <w:abstractNumId w:val="311"/>
  </w:num>
  <w:num w:numId="120">
    <w:abstractNumId w:val="188"/>
  </w:num>
  <w:num w:numId="121">
    <w:abstractNumId w:val="262"/>
  </w:num>
  <w:num w:numId="122">
    <w:abstractNumId w:val="223"/>
  </w:num>
  <w:num w:numId="123">
    <w:abstractNumId w:val="228"/>
  </w:num>
  <w:num w:numId="124">
    <w:abstractNumId w:val="253"/>
  </w:num>
  <w:num w:numId="125">
    <w:abstractNumId w:val="140"/>
  </w:num>
  <w:num w:numId="126">
    <w:abstractNumId w:val="211"/>
  </w:num>
  <w:num w:numId="127">
    <w:abstractNumId w:val="161"/>
  </w:num>
  <w:num w:numId="128">
    <w:abstractNumId w:val="284"/>
  </w:num>
  <w:num w:numId="129">
    <w:abstractNumId w:val="363"/>
  </w:num>
  <w:num w:numId="130">
    <w:abstractNumId w:val="356"/>
  </w:num>
  <w:num w:numId="131">
    <w:abstractNumId w:val="104"/>
  </w:num>
  <w:num w:numId="132">
    <w:abstractNumId w:val="323"/>
  </w:num>
  <w:num w:numId="133">
    <w:abstractNumId w:val="113"/>
  </w:num>
  <w:num w:numId="134">
    <w:abstractNumId w:val="18"/>
  </w:num>
  <w:num w:numId="135">
    <w:abstractNumId w:val="162"/>
  </w:num>
  <w:num w:numId="136">
    <w:abstractNumId w:val="74"/>
  </w:num>
  <w:num w:numId="137">
    <w:abstractNumId w:val="171"/>
  </w:num>
  <w:num w:numId="138">
    <w:abstractNumId w:val="191"/>
  </w:num>
  <w:num w:numId="139">
    <w:abstractNumId w:val="376"/>
  </w:num>
  <w:num w:numId="140">
    <w:abstractNumId w:val="93"/>
  </w:num>
  <w:num w:numId="141">
    <w:abstractNumId w:val="129"/>
  </w:num>
  <w:num w:numId="142">
    <w:abstractNumId w:val="91"/>
  </w:num>
  <w:num w:numId="143">
    <w:abstractNumId w:val="260"/>
  </w:num>
  <w:num w:numId="144">
    <w:abstractNumId w:val="114"/>
  </w:num>
  <w:num w:numId="145">
    <w:abstractNumId w:val="259"/>
  </w:num>
  <w:num w:numId="146">
    <w:abstractNumId w:val="1"/>
  </w:num>
  <w:num w:numId="147">
    <w:abstractNumId w:val="307"/>
  </w:num>
  <w:num w:numId="148">
    <w:abstractNumId w:val="43"/>
  </w:num>
  <w:num w:numId="149">
    <w:abstractNumId w:val="245"/>
  </w:num>
  <w:num w:numId="150">
    <w:abstractNumId w:val="301"/>
  </w:num>
  <w:num w:numId="151">
    <w:abstractNumId w:val="186"/>
  </w:num>
  <w:num w:numId="152">
    <w:abstractNumId w:val="47"/>
  </w:num>
  <w:num w:numId="153">
    <w:abstractNumId w:val="5"/>
  </w:num>
  <w:num w:numId="154">
    <w:abstractNumId w:val="64"/>
  </w:num>
  <w:num w:numId="155">
    <w:abstractNumId w:val="117"/>
  </w:num>
  <w:num w:numId="156">
    <w:abstractNumId w:val="164"/>
  </w:num>
  <w:num w:numId="157">
    <w:abstractNumId w:val="344"/>
  </w:num>
  <w:num w:numId="158">
    <w:abstractNumId w:val="206"/>
  </w:num>
  <w:num w:numId="159">
    <w:abstractNumId w:val="332"/>
  </w:num>
  <w:num w:numId="160">
    <w:abstractNumId w:val="125"/>
  </w:num>
  <w:num w:numId="161">
    <w:abstractNumId w:val="146"/>
  </w:num>
  <w:num w:numId="162">
    <w:abstractNumId w:val="303"/>
  </w:num>
  <w:num w:numId="163">
    <w:abstractNumId w:val="339"/>
  </w:num>
  <w:num w:numId="164">
    <w:abstractNumId w:val="272"/>
  </w:num>
  <w:num w:numId="165">
    <w:abstractNumId w:val="35"/>
  </w:num>
  <w:num w:numId="166">
    <w:abstractNumId w:val="207"/>
  </w:num>
  <w:num w:numId="167">
    <w:abstractNumId w:val="266"/>
  </w:num>
  <w:num w:numId="168">
    <w:abstractNumId w:val="316"/>
  </w:num>
  <w:num w:numId="169">
    <w:abstractNumId w:val="280"/>
  </w:num>
  <w:num w:numId="170">
    <w:abstractNumId w:val="349"/>
  </w:num>
  <w:num w:numId="171">
    <w:abstractNumId w:val="157"/>
  </w:num>
  <w:num w:numId="172">
    <w:abstractNumId w:val="38"/>
  </w:num>
  <w:num w:numId="173">
    <w:abstractNumId w:val="53"/>
  </w:num>
  <w:num w:numId="174">
    <w:abstractNumId w:val="86"/>
  </w:num>
  <w:num w:numId="175">
    <w:abstractNumId w:val="101"/>
  </w:num>
  <w:num w:numId="176">
    <w:abstractNumId w:val="337"/>
  </w:num>
  <w:num w:numId="177">
    <w:abstractNumId w:val="251"/>
  </w:num>
  <w:num w:numId="178">
    <w:abstractNumId w:val="252"/>
  </w:num>
  <w:num w:numId="179">
    <w:abstractNumId w:val="302"/>
  </w:num>
  <w:num w:numId="180">
    <w:abstractNumId w:val="378"/>
  </w:num>
  <w:num w:numId="181">
    <w:abstractNumId w:val="148"/>
  </w:num>
  <w:num w:numId="182">
    <w:abstractNumId w:val="92"/>
  </w:num>
  <w:num w:numId="183">
    <w:abstractNumId w:val="126"/>
  </w:num>
  <w:num w:numId="184">
    <w:abstractNumId w:val="213"/>
  </w:num>
  <w:num w:numId="185">
    <w:abstractNumId w:val="352"/>
  </w:num>
  <w:num w:numId="186">
    <w:abstractNumId w:val="48"/>
  </w:num>
  <w:num w:numId="187">
    <w:abstractNumId w:val="139"/>
  </w:num>
  <w:num w:numId="188">
    <w:abstractNumId w:val="46"/>
  </w:num>
  <w:num w:numId="189">
    <w:abstractNumId w:val="122"/>
  </w:num>
  <w:num w:numId="190">
    <w:abstractNumId w:val="254"/>
  </w:num>
  <w:num w:numId="191">
    <w:abstractNumId w:val="319"/>
  </w:num>
  <w:num w:numId="192">
    <w:abstractNumId w:val="210"/>
  </w:num>
  <w:num w:numId="193">
    <w:abstractNumId w:val="246"/>
  </w:num>
  <w:num w:numId="194">
    <w:abstractNumId w:val="106"/>
  </w:num>
  <w:num w:numId="195">
    <w:abstractNumId w:val="324"/>
  </w:num>
  <w:num w:numId="196">
    <w:abstractNumId w:val="320"/>
  </w:num>
  <w:num w:numId="197">
    <w:abstractNumId w:val="212"/>
  </w:num>
  <w:num w:numId="198">
    <w:abstractNumId w:val="56"/>
  </w:num>
  <w:num w:numId="199">
    <w:abstractNumId w:val="99"/>
  </w:num>
  <w:num w:numId="200">
    <w:abstractNumId w:val="255"/>
  </w:num>
  <w:num w:numId="201">
    <w:abstractNumId w:val="69"/>
  </w:num>
  <w:num w:numId="202">
    <w:abstractNumId w:val="110"/>
  </w:num>
  <w:num w:numId="203">
    <w:abstractNumId w:val="377"/>
  </w:num>
  <w:num w:numId="204">
    <w:abstractNumId w:val="335"/>
  </w:num>
  <w:num w:numId="205">
    <w:abstractNumId w:val="326"/>
  </w:num>
  <w:num w:numId="206">
    <w:abstractNumId w:val="135"/>
  </w:num>
  <w:num w:numId="207">
    <w:abstractNumId w:val="97"/>
  </w:num>
  <w:num w:numId="208">
    <w:abstractNumId w:val="153"/>
  </w:num>
  <w:num w:numId="209">
    <w:abstractNumId w:val="111"/>
  </w:num>
  <w:num w:numId="210">
    <w:abstractNumId w:val="305"/>
  </w:num>
  <w:num w:numId="211">
    <w:abstractNumId w:val="15"/>
  </w:num>
  <w:num w:numId="212">
    <w:abstractNumId w:val="336"/>
  </w:num>
  <w:num w:numId="213">
    <w:abstractNumId w:val="289"/>
  </w:num>
  <w:num w:numId="214">
    <w:abstractNumId w:val="331"/>
  </w:num>
  <w:num w:numId="215">
    <w:abstractNumId w:val="52"/>
  </w:num>
  <w:num w:numId="216">
    <w:abstractNumId w:val="87"/>
  </w:num>
  <w:num w:numId="217">
    <w:abstractNumId w:val="118"/>
  </w:num>
  <w:num w:numId="218">
    <w:abstractNumId w:val="340"/>
  </w:num>
  <w:num w:numId="219">
    <w:abstractNumId w:val="270"/>
  </w:num>
  <w:num w:numId="220">
    <w:abstractNumId w:val="244"/>
  </w:num>
  <w:num w:numId="221">
    <w:abstractNumId w:val="257"/>
  </w:num>
  <w:num w:numId="222">
    <w:abstractNumId w:val="27"/>
  </w:num>
  <w:num w:numId="223">
    <w:abstractNumId w:val="39"/>
  </w:num>
  <w:num w:numId="224">
    <w:abstractNumId w:val="286"/>
  </w:num>
  <w:num w:numId="225">
    <w:abstractNumId w:val="330"/>
  </w:num>
  <w:num w:numId="226">
    <w:abstractNumId w:val="216"/>
  </w:num>
  <w:num w:numId="227">
    <w:abstractNumId w:val="261"/>
  </w:num>
  <w:num w:numId="228">
    <w:abstractNumId w:val="334"/>
  </w:num>
  <w:num w:numId="229">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num>
  <w:num w:numId="232">
    <w:abstractNumId w:val="308"/>
  </w:num>
  <w:num w:numId="233">
    <w:abstractNumId w:val="192"/>
  </w:num>
  <w:num w:numId="234">
    <w:abstractNumId w:val="138"/>
  </w:num>
  <w:num w:numId="235">
    <w:abstractNumId w:val="366"/>
  </w:num>
  <w:num w:numId="236">
    <w:abstractNumId w:val="233"/>
  </w:num>
  <w:num w:numId="237">
    <w:abstractNumId w:val="118"/>
  </w:num>
  <w:num w:numId="238">
    <w:abstractNumId w:val="147"/>
  </w:num>
  <w:num w:numId="239">
    <w:abstractNumId w:val="76"/>
  </w:num>
  <w:num w:numId="240">
    <w:abstractNumId w:val="340"/>
  </w:num>
  <w:num w:numId="241">
    <w:abstractNumId w:val="242"/>
  </w:num>
  <w:num w:numId="242">
    <w:abstractNumId w:val="144"/>
  </w:num>
  <w:num w:numId="243">
    <w:abstractNumId w:val="82"/>
  </w:num>
  <w:num w:numId="244">
    <w:abstractNumId w:val="9"/>
  </w:num>
  <w:num w:numId="245">
    <w:abstractNumId w:val="297"/>
  </w:num>
  <w:num w:numId="246">
    <w:abstractNumId w:val="63"/>
  </w:num>
  <w:num w:numId="247">
    <w:abstractNumId w:val="177"/>
  </w:num>
  <w:num w:numId="248">
    <w:abstractNumId w:val="50"/>
  </w:num>
  <w:num w:numId="249">
    <w:abstractNumId w:val="357"/>
  </w:num>
  <w:num w:numId="250">
    <w:abstractNumId w:val="159"/>
  </w:num>
  <w:num w:numId="251">
    <w:abstractNumId w:val="247"/>
  </w:num>
  <w:num w:numId="252">
    <w:abstractNumId w:val="304"/>
  </w:num>
  <w:num w:numId="253">
    <w:abstractNumId w:val="21"/>
  </w:num>
  <w:num w:numId="254">
    <w:abstractNumId w:val="215"/>
  </w:num>
  <w:num w:numId="255">
    <w:abstractNumId w:val="16"/>
  </w:num>
  <w:num w:numId="256">
    <w:abstractNumId w:val="265"/>
  </w:num>
  <w:num w:numId="257">
    <w:abstractNumId w:val="359"/>
  </w:num>
  <w:num w:numId="258">
    <w:abstractNumId w:val="107"/>
  </w:num>
  <w:num w:numId="259">
    <w:abstractNumId w:val="194"/>
  </w:num>
  <w:num w:numId="260">
    <w:abstractNumId w:val="29"/>
  </w:num>
  <w:num w:numId="261">
    <w:abstractNumId w:val="98"/>
  </w:num>
  <w:num w:numId="262">
    <w:abstractNumId w:val="374"/>
  </w:num>
  <w:num w:numId="263">
    <w:abstractNumId w:val="195"/>
  </w:num>
  <w:num w:numId="264">
    <w:abstractNumId w:val="180"/>
  </w:num>
  <w:num w:numId="265">
    <w:abstractNumId w:val="371"/>
  </w:num>
  <w:num w:numId="266">
    <w:abstractNumId w:val="313"/>
  </w:num>
  <w:num w:numId="267">
    <w:abstractNumId w:val="155"/>
  </w:num>
  <w:num w:numId="268">
    <w:abstractNumId w:val="115"/>
  </w:num>
  <w:num w:numId="269">
    <w:abstractNumId w:val="2"/>
  </w:num>
  <w:num w:numId="270">
    <w:abstractNumId w:val="84"/>
  </w:num>
  <w:num w:numId="271">
    <w:abstractNumId w:val="190"/>
  </w:num>
  <w:num w:numId="272">
    <w:abstractNumId w:val="198"/>
  </w:num>
  <w:num w:numId="273">
    <w:abstractNumId w:val="271"/>
  </w:num>
  <w:num w:numId="274">
    <w:abstractNumId w:val="62"/>
  </w:num>
  <w:num w:numId="275">
    <w:abstractNumId w:val="176"/>
  </w:num>
  <w:num w:numId="276">
    <w:abstractNumId w:val="71"/>
  </w:num>
  <w:num w:numId="277">
    <w:abstractNumId w:val="141"/>
  </w:num>
  <w:num w:numId="278">
    <w:abstractNumId w:val="232"/>
  </w:num>
  <w:num w:numId="279">
    <w:abstractNumId w:val="269"/>
  </w:num>
  <w:num w:numId="280">
    <w:abstractNumId w:val="72"/>
  </w:num>
  <w:num w:numId="281">
    <w:abstractNumId w:val="217"/>
  </w:num>
  <w:num w:numId="282">
    <w:abstractNumId w:val="169"/>
  </w:num>
  <w:num w:numId="283">
    <w:abstractNumId w:val="318"/>
  </w:num>
  <w:num w:numId="284">
    <w:abstractNumId w:val="368"/>
  </w:num>
  <w:num w:numId="285">
    <w:abstractNumId w:val="143"/>
  </w:num>
  <w:num w:numId="286">
    <w:abstractNumId w:val="103"/>
  </w:num>
  <w:num w:numId="287">
    <w:abstractNumId w:val="214"/>
  </w:num>
  <w:num w:numId="288">
    <w:abstractNumId w:val="364"/>
  </w:num>
  <w:num w:numId="289">
    <w:abstractNumId w:val="174"/>
  </w:num>
  <w:num w:numId="290">
    <w:abstractNumId w:val="295"/>
  </w:num>
  <w:num w:numId="291">
    <w:abstractNumId w:val="208"/>
  </w:num>
  <w:num w:numId="292">
    <w:abstractNumId w:val="204"/>
  </w:num>
  <w:num w:numId="293">
    <w:abstractNumId w:val="240"/>
  </w:num>
  <w:num w:numId="294">
    <w:abstractNumId w:val="230"/>
  </w:num>
  <w:num w:numId="295">
    <w:abstractNumId w:val="373"/>
  </w:num>
  <w:num w:numId="296">
    <w:abstractNumId w:val="258"/>
  </w:num>
  <w:num w:numId="297">
    <w:abstractNumId w:val="75"/>
  </w:num>
  <w:num w:numId="298">
    <w:abstractNumId w:val="100"/>
  </w:num>
  <w:num w:numId="299">
    <w:abstractNumId w:val="292"/>
  </w:num>
  <w:num w:numId="300">
    <w:abstractNumId w:val="102"/>
  </w:num>
  <w:num w:numId="301">
    <w:abstractNumId w:val="25"/>
  </w:num>
  <w:num w:numId="302">
    <w:abstractNumId w:val="12"/>
  </w:num>
  <w:num w:numId="303">
    <w:abstractNumId w:val="184"/>
  </w:num>
  <w:num w:numId="304">
    <w:abstractNumId w:val="226"/>
  </w:num>
  <w:num w:numId="305">
    <w:abstractNumId w:val="327"/>
  </w:num>
  <w:num w:numId="306">
    <w:abstractNumId w:val="60"/>
  </w:num>
  <w:num w:numId="307">
    <w:abstractNumId w:val="67"/>
  </w:num>
  <w:num w:numId="308">
    <w:abstractNumId w:val="83"/>
  </w:num>
  <w:num w:numId="309">
    <w:abstractNumId w:val="234"/>
  </w:num>
  <w:num w:numId="310">
    <w:abstractNumId w:val="181"/>
  </w:num>
  <w:num w:numId="311">
    <w:abstractNumId w:val="17"/>
  </w:num>
  <w:num w:numId="312">
    <w:abstractNumId w:val="353"/>
  </w:num>
  <w:num w:numId="313">
    <w:abstractNumId w:val="4"/>
  </w:num>
  <w:num w:numId="314">
    <w:abstractNumId w:val="96"/>
  </w:num>
  <w:num w:numId="315">
    <w:abstractNumId w:val="88"/>
  </w:num>
  <w:num w:numId="316">
    <w:abstractNumId w:val="182"/>
  </w:num>
  <w:num w:numId="317">
    <w:abstractNumId w:val="11"/>
  </w:num>
  <w:num w:numId="318">
    <w:abstractNumId w:val="152"/>
  </w:num>
  <w:num w:numId="319">
    <w:abstractNumId w:val="57"/>
  </w:num>
  <w:num w:numId="320">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31"/>
  </w:num>
  <w:num w:numId="322">
    <w:abstractNumId w:val="283"/>
  </w:num>
  <w:num w:numId="323">
    <w:abstractNumId w:val="28"/>
  </w:num>
  <w:num w:numId="324">
    <w:abstractNumId w:val="221"/>
  </w:num>
  <w:num w:numId="325">
    <w:abstractNumId w:val="137"/>
  </w:num>
  <w:num w:numId="326">
    <w:abstractNumId w:val="24"/>
  </w:num>
  <w:num w:numId="327">
    <w:abstractNumId w:val="149"/>
  </w:num>
  <w:num w:numId="328">
    <w:abstractNumId w:val="205"/>
  </w:num>
  <w:num w:numId="329">
    <w:abstractNumId w:val="175"/>
  </w:num>
  <w:num w:numId="330">
    <w:abstractNumId w:val="13"/>
  </w:num>
  <w:num w:numId="331">
    <w:abstractNumId w:val="30"/>
  </w:num>
  <w:num w:numId="332">
    <w:abstractNumId w:val="142"/>
  </w:num>
  <w:num w:numId="333">
    <w:abstractNumId w:val="372"/>
  </w:num>
  <w:num w:numId="334">
    <w:abstractNumId w:val="109"/>
  </w:num>
  <w:num w:numId="335">
    <w:abstractNumId w:val="201"/>
  </w:num>
  <w:num w:numId="336">
    <w:abstractNumId w:val="178"/>
  </w:num>
  <w:num w:numId="337">
    <w:abstractNumId w:val="172"/>
  </w:num>
  <w:num w:numId="338">
    <w:abstractNumId w:val="185"/>
  </w:num>
  <w:num w:numId="339">
    <w:abstractNumId w:val="22"/>
  </w:num>
  <w:num w:numId="340">
    <w:abstractNumId w:val="145"/>
  </w:num>
  <w:num w:numId="341">
    <w:abstractNumId w:val="369"/>
  </w:num>
  <w:num w:numId="342">
    <w:abstractNumId w:val="202"/>
  </w:num>
  <w:num w:numId="343">
    <w:abstractNumId w:val="351"/>
  </w:num>
  <w:num w:numId="344">
    <w:abstractNumId w:val="193"/>
  </w:num>
  <w:num w:numId="345">
    <w:abstractNumId w:val="127"/>
  </w:num>
  <w:num w:numId="346">
    <w:abstractNumId w:val="156"/>
  </w:num>
  <w:num w:numId="347">
    <w:abstractNumId w:val="89"/>
  </w:num>
  <w:num w:numId="348">
    <w:abstractNumId w:val="128"/>
  </w:num>
  <w:num w:numId="349">
    <w:abstractNumId w:val="112"/>
  </w:num>
  <w:num w:numId="350">
    <w:abstractNumId w:val="183"/>
  </w:num>
  <w:num w:numId="351">
    <w:abstractNumId w:val="287"/>
  </w:num>
  <w:num w:numId="352">
    <w:abstractNumId w:val="68"/>
  </w:num>
  <w:num w:numId="353">
    <w:abstractNumId w:val="116"/>
  </w:num>
  <w:num w:numId="354">
    <w:abstractNumId w:val="375"/>
  </w:num>
  <w:num w:numId="355">
    <w:abstractNumId w:val="273"/>
  </w:num>
  <w:num w:numId="356">
    <w:abstractNumId w:val="123"/>
  </w:num>
  <w:num w:numId="357">
    <w:abstractNumId w:val="243"/>
  </w:num>
  <w:num w:numId="358">
    <w:abstractNumId w:val="299"/>
  </w:num>
  <w:num w:numId="359">
    <w:abstractNumId w:val="329"/>
  </w:num>
  <w:num w:numId="360">
    <w:abstractNumId w:val="167"/>
  </w:num>
  <w:num w:numId="361">
    <w:abstractNumId w:val="151"/>
  </w:num>
  <w:num w:numId="362">
    <w:abstractNumId w:val="209"/>
  </w:num>
  <w:num w:numId="363">
    <w:abstractNumId w:val="3"/>
  </w:num>
  <w:num w:numId="364">
    <w:abstractNumId w:val="203"/>
  </w:num>
  <w:num w:numId="365">
    <w:abstractNumId w:val="132"/>
  </w:num>
  <w:num w:numId="366">
    <w:abstractNumId w:val="308"/>
    <w:lvlOverride w:ilvl="0">
      <w:startOverride w:val="5"/>
    </w:lvlOverride>
    <w:lvlOverride w:ilvl="1">
      <w:startOverride w:val="1"/>
    </w:lvlOverride>
  </w:num>
  <w:num w:numId="367">
    <w:abstractNumId w:val="308"/>
    <w:lvlOverride w:ilvl="0">
      <w:startOverride w:val="6"/>
    </w:lvlOverride>
    <w:lvlOverride w:ilvl="1">
      <w:startOverride w:val="1"/>
    </w:lvlOverride>
  </w:num>
  <w:num w:numId="368">
    <w:abstractNumId w:val="263"/>
  </w:num>
  <w:num w:numId="369">
    <w:abstractNumId w:val="365"/>
  </w:num>
  <w:num w:numId="370">
    <w:abstractNumId w:val="267"/>
  </w:num>
  <w:num w:numId="371">
    <w:abstractNumId w:val="361"/>
  </w:num>
  <w:num w:numId="372">
    <w:abstractNumId w:val="347"/>
  </w:num>
  <w:num w:numId="373">
    <w:abstractNumId w:val="294"/>
  </w:num>
  <w:num w:numId="374">
    <w:abstractNumId w:val="54"/>
  </w:num>
  <w:num w:numId="375">
    <w:abstractNumId w:val="248"/>
  </w:num>
  <w:num w:numId="376">
    <w:abstractNumId w:val="224"/>
  </w:num>
  <w:num w:numId="377">
    <w:abstractNumId w:val="61"/>
  </w:num>
  <w:num w:numId="378">
    <w:abstractNumId w:val="239"/>
  </w:num>
  <w:num w:numId="379">
    <w:abstractNumId w:val="309"/>
  </w:num>
  <w:num w:numId="380">
    <w:abstractNumId w:val="19"/>
  </w:num>
  <w:num w:numId="381">
    <w:abstractNumId w:val="31"/>
  </w:num>
  <w:num w:numId="382">
    <w:abstractNumId w:val="237"/>
  </w:num>
  <w:num w:numId="383">
    <w:abstractNumId w:val="379"/>
  </w:num>
  <w:num w:numId="384">
    <w:abstractNumId w:val="333"/>
  </w:num>
  <w:num w:numId="385">
    <w:abstractNumId w:val="312"/>
  </w:num>
  <w:num w:numId="386">
    <w:abstractNumId w:val="279"/>
  </w:num>
  <w:num w:numId="387">
    <w:abstractNumId w:val="264"/>
  </w:num>
  <w:num w:numId="388">
    <w:abstractNumId w:val="231"/>
  </w:num>
  <w:num w:numId="389">
    <w:abstractNumId w:val="268"/>
  </w:num>
  <w:num w:numId="390">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efaultTableStyle w:val="Svetlmriekazvrazneni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5A4"/>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2DA9"/>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Sil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UnresolvedMention">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3" Type="http://schemas.openxmlformats.org/officeDocument/2006/relationships/customXml" Target="../customXml/item3.xm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C625B7-6E14-4F94-BF7C-7AE61DD930BB}">
  <ds:schemaRefs>
    <ds:schemaRef ds:uri="http://schemas.openxmlformats.org/officeDocument/2006/bibliography"/>
  </ds:schemaRefs>
</ds:datastoreItem>
</file>

<file path=customXml/itemProps3.xml><?xml version="1.0" encoding="utf-8"?>
<ds:datastoreItem xmlns:ds="http://schemas.openxmlformats.org/officeDocument/2006/customXml" ds:itemID="{A16F5EAC-EF83-480D-B229-BF407785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75298</Words>
  <Characters>429205</Characters>
  <Application>Microsoft Office Word</Application>
  <DocSecurity>0</DocSecurity>
  <Lines>3576</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HP PAVILION 8</cp:lastModifiedBy>
  <cp:revision>2</cp:revision>
  <cp:lastPrinted>2022-10-03T12:29:00Z</cp:lastPrinted>
  <dcterms:created xsi:type="dcterms:W3CDTF">2023-05-19T11:19:00Z</dcterms:created>
  <dcterms:modified xsi:type="dcterms:W3CDTF">2023-05-19T11:19:00Z</dcterms:modified>
</cp:coreProperties>
</file>